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Supplementary materials for the manuscript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highlight w:val="yellow"/>
          <w:lang w:val="en-US"/>
        </w:rPr>
      </w:r>
    </w:p>
    <w:p>
      <w:pPr>
        <w:pStyle w:val="1"/>
        <w:spacing w:lineRule="auto" w:line="276"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vmg65d33mif0"/>
      <w:bookmarkEnd w:id="0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Relationships between synthesis conditions and TiN coating properties discovered from the data driven appro</w:t>
      </w:r>
      <w:bookmarkStart w:id="1" w:name="_kt4rkylvwi17"/>
      <w:bookmarkEnd w:id="1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ach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Kulkov M.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  <w:lang w:val="en-US"/>
        </w:rPr>
        <w:t>, Guda S. A.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1,2</w:t>
      </w:r>
      <w:r>
        <w:rPr>
          <w:rFonts w:cs="Times New Roman" w:ascii="Times New Roman" w:hAnsi="Times New Roman"/>
          <w:sz w:val="24"/>
          <w:szCs w:val="24"/>
          <w:lang w:val="en-US"/>
        </w:rPr>
        <w:t>, Kudryakov O. V.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2,3</w:t>
      </w:r>
      <w:r>
        <w:rPr>
          <w:rFonts w:cs="Times New Roman" w:ascii="Times New Roman" w:hAnsi="Times New Roman"/>
          <w:sz w:val="24"/>
          <w:szCs w:val="24"/>
          <w:lang w:val="en-US"/>
        </w:rPr>
        <w:t>, Guda A. A.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1,2</w:t>
      </w:r>
      <w:r>
        <w:rPr>
          <w:rFonts w:cs="Times New Roman" w:ascii="Times New Roman" w:hAnsi="Times New Roman"/>
          <w:sz w:val="24"/>
          <w:szCs w:val="24"/>
          <w:lang w:val="en-US"/>
        </w:rPr>
        <w:t>, Pashkov D. M.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1,2</w:t>
      </w:r>
      <w:r>
        <w:rPr>
          <w:rFonts w:cs="Times New Roman" w:ascii="Times New Roman" w:hAnsi="Times New Roman"/>
          <w:sz w:val="24"/>
          <w:szCs w:val="24"/>
          <w:lang w:val="en-US"/>
        </w:rPr>
        <w:t>, Rusalev Yu.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1,2</w:t>
      </w:r>
      <w:r>
        <w:rPr>
          <w:rFonts w:cs="Times New Roman" w:ascii="Times New Roman" w:hAnsi="Times New Roman"/>
          <w:sz w:val="24"/>
          <w:szCs w:val="24"/>
          <w:lang w:val="en-US"/>
        </w:rPr>
        <w:t>, Soldatov A. V.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  <w:lang w:val="en-US"/>
        </w:rPr>
        <w:t>, Kolesnikov V. I.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 xml:space="preserve">1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The Smart Materials Research Institute, Southern Federal University, Rostov-on-Don 344090, Russian Federation;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Department of Theoretical Mechanics, Rostov State Transport University, Rostov-on-Don, 344038, Russian Federation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Material Science Department, Don State Technical University, Rostov-on-Don, 344000, Russian Federation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/>
        <w:drawing>
          <wp:inline distT="0" distB="0" distL="0" distR="0">
            <wp:extent cx="4221480" cy="2992120"/>
            <wp:effectExtent l="0" t="0" r="0" b="0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Figure S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1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Bar-chart of the sparsity of the database by descriptors (1.0 - no missing values; 0.0 - no filled values).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tbl>
      <w:tblPr>
        <w:tblW w:w="9240" w:type="dxa"/>
        <w:jc w:val="left"/>
        <w:tblInd w:w="0" w:type="dxa"/>
        <w:tblCellMar>
          <w:top w:w="100" w:type="dxa"/>
          <w:left w:w="9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307"/>
        <w:gridCol w:w="1258"/>
        <w:gridCol w:w="1301"/>
        <w:gridCol w:w="1298"/>
        <w:gridCol w:w="1361"/>
        <w:gridCol w:w="1358"/>
        <w:gridCol w:w="1356"/>
      </w:tblGrid>
      <w:tr>
        <w:trPr/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Imputer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const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const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const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simple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simple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simple</w:t>
            </w:r>
          </w:p>
        </w:tc>
      </w:tr>
      <w:tr>
        <w:trPr/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ExtraTrees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RidgeCV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SVM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ExtraTrees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RidgeCV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SVM</w:t>
            </w:r>
          </w:p>
        </w:tc>
      </w:tr>
      <w:tr>
        <w:trPr/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R2 score, H prediction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0.35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0.67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0.8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0.33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0.73</w:t>
            </w:r>
          </w:p>
        </w:tc>
      </w:tr>
      <w:tr>
        <w:trPr/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Imputer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iterative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iterative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iterative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KNN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KNN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KNN</w:t>
            </w:r>
          </w:p>
        </w:tc>
      </w:tr>
      <w:tr>
        <w:trPr/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ExtraTrees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RidgeCV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SVM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ExtraTrees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RidgeCV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SVM</w:t>
            </w:r>
          </w:p>
        </w:tc>
      </w:tr>
      <w:tr>
        <w:trPr/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R2 score, H prediction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0.35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0.73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0.35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Table S1.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R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of hardness prediction before filtration.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tbl>
      <w:tblPr>
        <w:tblW w:w="9240" w:type="dxa"/>
        <w:jc w:val="left"/>
        <w:tblInd w:w="0" w:type="dxa"/>
        <w:tblCellMar>
          <w:top w:w="100" w:type="dxa"/>
          <w:left w:w="9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243"/>
        <w:gridCol w:w="1308"/>
        <w:gridCol w:w="1303"/>
        <w:gridCol w:w="1300"/>
        <w:gridCol w:w="1362"/>
        <w:gridCol w:w="1362"/>
        <w:gridCol w:w="1361"/>
      </w:tblGrid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Imputer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const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const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const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simple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simple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simple</w:t>
            </w:r>
          </w:p>
        </w:tc>
      </w:tr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ExtraTrees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RidgeCV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SVM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ExtraTrees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RidgeCV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SVM</w:t>
            </w:r>
          </w:p>
        </w:tc>
      </w:tr>
      <w:tr>
        <w:trPr/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R2 score, H prediction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0.82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0.53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0.77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0.81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0.55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0.79</w:t>
            </w:r>
          </w:p>
        </w:tc>
      </w:tr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Imputer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iterative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iterative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iterative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KNN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KNN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KNN</w:t>
            </w:r>
          </w:p>
        </w:tc>
      </w:tr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ExtraTrees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RidgeCV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SVM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ExtraTrees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RidgeCV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SVM</w:t>
            </w:r>
          </w:p>
        </w:tc>
      </w:tr>
      <w:tr>
        <w:trPr/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R2 score, H prediction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0.83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0.52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0.8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0.83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0.51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0.74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Table S2.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R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of hardness prediction after filtration.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Table S3.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List of experimental descriptors related to the deposition process and properties of the resulting material. Duplicate from the main text.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34"/>
        <w:gridCol w:w="1984"/>
        <w:gridCol w:w="5024"/>
      </w:tblGrid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Descriptor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Comments</w:t>
            </w:r>
          </w:p>
        </w:tc>
      </w:tr>
      <w:tr>
        <w:trPr/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1.1 Deposition parameters (DC magnetron)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Reactive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cathegorial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Reactive or unreactive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cathegorial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Balanced or unbalanced. Authors in general do not provide quantitative details about magnetic field configuration for the unbalanced scheme.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Residual pressure, Pa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work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Working pressure during deposition, Pa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TargetSize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Target diameter (or average side in case of rectangular), mm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CathDist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Distance from the cathode to substrate, cm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/Ar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Ratio between partial pressures or flows of N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and Ar gases during deposition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PowDensity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Power density applied on sputtered target (ratio of applied power to the target area), W/cm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Bias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Voltage bias on the substrate, V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Substrate temperature during deposition, °C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DeposRate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Rate of the film deposition, nm/min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IonAtomRatio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Ratio between ionized atoms to the total gas atoms in the direction of substrate during deposition.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Sublayer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cathegorial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Deposition of the buffer layer before coating deposition (usually metallic Ti)</w:t>
            </w:r>
          </w:p>
        </w:tc>
      </w:tr>
      <w:tr>
        <w:trPr/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1.2 Substrate properties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SubType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cathegorial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Substrate material (steel, silicon, etc)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SubRough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Substrate roughness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nm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SubH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Substrate hardness, GPa. Often authors report only substrate material, e.g. steel with a given composition. However, hardness of steel severely depends on the pretreatment conditions, e.g. annealing. We have filled this value based on standard parameters of materials in the engineering databases.</w:t>
            </w:r>
          </w:p>
        </w:tc>
      </w:tr>
      <w:tr>
        <w:trPr/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2. Material testing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Indenter load in the hardness test, N. This parameter is mainly crucial for early publications. Authors in recent works ensure that indenter does not penetrate deeper than 10% of the coating thickness.</w:t>
            </w:r>
          </w:p>
        </w:tc>
      </w:tr>
      <w:tr>
        <w:trPr/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3.1 Structural parameters of coating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CoatThick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thickness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μm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CoatDen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density, g/cm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Ti/N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Ti/N ratio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CoatRough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roughness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nm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GrainSize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Grain size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nm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LatStrain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Lattice strain, %, as obtained from XRD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CoatIntStress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Internal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GPa</w:t>
            </w:r>
          </w:p>
        </w:tc>
      </w:tr>
      <w:tr>
        <w:trPr/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3.2 Mechanical properties of coating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Hardness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GPa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Yung modulus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GPa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Figures S3 - S33 visualize the distribution of the experimental parameters across the database of published experiments.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0875" cy="365760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2140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0875" cy="3648710"/>
            <wp:effectExtent l="0" t="0" r="0" b="0"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712210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0875" cy="3657600"/>
            <wp:effectExtent l="0" t="0" r="0" b="0"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57600"/>
            <wp:effectExtent l="0" t="0" r="0" b="0"/>
            <wp:docPr id="10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712210"/>
            <wp:effectExtent l="0" t="0" r="0" b="0"/>
            <wp:docPr id="1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21405"/>
            <wp:effectExtent l="0" t="0" r="0" b="0"/>
            <wp:docPr id="1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0875" cy="3648710"/>
            <wp:effectExtent l="0" t="0" r="0" b="0"/>
            <wp:docPr id="13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712210"/>
            <wp:effectExtent l="0" t="0" r="0" b="0"/>
            <wp:docPr id="1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712210"/>
            <wp:effectExtent l="0" t="0" r="0" b="0"/>
            <wp:docPr id="1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21405"/>
            <wp:effectExtent l="0" t="0" r="0" b="0"/>
            <wp:docPr id="1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1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18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712210"/>
            <wp:effectExtent l="0" t="0" r="0" b="0"/>
            <wp:docPr id="19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0875" cy="3648710"/>
            <wp:effectExtent l="0" t="0" r="0" b="0"/>
            <wp:docPr id="20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21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22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0875" cy="3657600"/>
            <wp:effectExtent l="0" t="0" r="0" b="0"/>
            <wp:docPr id="23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24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21405"/>
            <wp:effectExtent l="0" t="0" r="0" b="0"/>
            <wp:docPr id="25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0875" cy="3648710"/>
            <wp:effectExtent l="0" t="0" r="0" b="0"/>
            <wp:docPr id="26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594100"/>
            <wp:effectExtent l="0" t="0" r="0" b="0"/>
            <wp:docPr id="27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28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29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30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1985" cy="3676015"/>
            <wp:effectExtent l="0" t="0" r="0" b="0"/>
            <wp:docPr id="31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0875" cy="3657600"/>
            <wp:effectExtent l="0" t="0" r="0" b="0"/>
            <wp:docPr id="32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4"/>
      <w:type w:val="nextPage"/>
      <w:pgSz w:w="11906" w:h="16838"/>
      <w:pgMar w:left="1440" w:right="1440" w:header="720" w:top="777" w:footer="0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Выделение жирным"/>
    <w:qFormat/>
    <w:rPr>
      <w:b/>
      <w:bCs/>
    </w:rPr>
  </w:style>
  <w:style w:type="character" w:styleId="Style10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6475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64755"/>
    <w:rPr>
      <w:rFonts w:cs="Mangal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64755"/>
    <w:rPr>
      <w:rFonts w:cs="Mangal"/>
      <w:b/>
      <w:bCs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4755"/>
    <w:rPr>
      <w:rFonts w:ascii="Segoe UI" w:hAnsi="Segoe UI" w:cs="Mangal"/>
      <w:sz w:val="18"/>
      <w:szCs w:val="16"/>
    </w:rPr>
  </w:style>
  <w:style w:type="paragraph" w:styleId="Style11" w:customStyle="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6">
    <w:name w:val="Title"/>
    <w:basedOn w:val="LO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LO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pPr/>
    <w:rPr/>
  </w:style>
  <w:style w:type="paragraph" w:styleId="11" w:customStyle="1">
    <w:name w:val="Библиография 1"/>
    <w:basedOn w:val="Style15"/>
    <w:qFormat/>
    <w:pPr>
      <w:tabs>
        <w:tab w:val="clear" w:pos="720"/>
        <w:tab w:val="left" w:pos="384" w:leader="none"/>
      </w:tabs>
      <w:spacing w:lineRule="atLeast" w:line="240"/>
      <w:ind w:left="384" w:hanging="384"/>
    </w:pPr>
    <w:rPr/>
  </w:style>
  <w:style w:type="paragraph" w:styleId="Style20" w:customStyle="1">
    <w:name w:val="Иллюстрация"/>
    <w:basedOn w:val="Caption"/>
    <w:qFormat/>
    <w:pPr/>
    <w:rPr/>
  </w:style>
  <w:style w:type="paragraph" w:styleId="Style21" w:customStyle="1">
    <w:name w:val="Содержимое врезки"/>
    <w:basedOn w:val="Normal"/>
    <w:qFormat/>
    <w:pPr/>
    <w:rPr/>
  </w:style>
  <w:style w:type="paragraph" w:styleId="Style22" w:customStyle="1">
    <w:name w:val="Содержимое таблицы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64755"/>
    <w:pPr>
      <w:spacing w:lineRule="auto" w:line="240"/>
    </w:pPr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6475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4755"/>
    <w:pPr>
      <w:spacing w:lineRule="auto" w:line="240"/>
    </w:pPr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header" Target="head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Application>LibreOffice/6.4.7.2$Linux_X86_64 LibreOffice_project/40$Build-2</Application>
  <Pages>18</Pages>
  <Words>538</Words>
  <Characters>3177</Characters>
  <CharactersWithSpaces>3550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2021-11-14T17:13:00Z</dcterms:created>
  <dc:creator/>
  <dc:description/>
  <dc:language>ru-RU</dc:language>
  <cp:lastModifiedBy/>
  <dcterms:modified xsi:type="dcterms:W3CDTF">2022-12-16T20:40:54Z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ZOTERO_PREF_1">
    <vt:lpwstr>&lt;data data-version="3" zotero-version="5.0.96.3"&gt;&lt;session id="I7koGQN9"/&gt;&lt;style id="http://www.zotero.org/styles/ieee" locale="ru-RU" hasBibliography="1" bibliographyStyleHasBeenSet="1"/&gt;&lt;prefs&gt;&lt;pref name="fieldType" value="ReferenceMark"/&gt;&lt;/prefs&gt;&lt;/data&gt;</vt:lpwstr>
  </property>
</Properties>
</file>