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6：Pantheon+ 在 z=12 的覆盖范围与模型外推边界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Pantheon+ Coverage at z=12 and the Boundary between Measurement and Extrapolation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本实验共 30 个正式样本。裸模型得分 34/180（18.9%）；Standard Astro 得分 180/180（100.0%）。系统路线为 general，终态为 limited。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V02_06_pantheon_z12 的科学背景、输入、计算、30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Pantheon+ 的观测范围最高约 z=2.26；系统必须说明 z=12 没有 Pantheon+ 测量，同时保留模型外推的定性解释。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的 15 个系统辅助样本全部满足冻结六维自动审计；该结论只适用于本任务，不应外推为普遍科学正确率。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Pantheon+ contains observed supernova information only to approximately z=2.26, so z=12 is outside its coverage. Standard Astro issued a verified-registry coverage receipt, kept the response useful with a limited disposition, and prevented any model extrapolation from being attributed to the dataset as a measurement.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Pantheon+ 汇集 1550 个 Ia 型超新星、1701 条光变曲线，用标准化蜡烛研究晚期宇宙距离—红移关系。其公开样本延伸到约 z=2.26，而 z=12 属于远早于该样本覆盖的宇宙时期。</w:t>
      </w:r>
    </w:p>
    <w:p>
      <w:r>
        <w:rPr>
          <w:rFonts w:ascii="Arial Unicode MS" w:hAnsi="Arial Unicode MS" w:eastAsia="Arial Unicode MS"/>
        </w:rPr>
        <w:t>在 z=12 计算 ΛCDM 或其他模型的 luminosity distance 是模型预测；它不能被归因于 Pantheon+ 观测。正确系统既不能洗白外推，也不应一刀切拒绝所有解释。</w:t>
      </w:r>
    </w:p>
    <w:p>
      <w:r>
        <w:rPr>
          <w:rFonts w:ascii="Arial Unicode MS" w:hAnsi="Arial Unicode MS" w:eastAsia="Arial Unicode MS"/>
        </w:rPr>
        <w:t>预注册问题：Using the registered Pantheon+ coverage, report whether luminosity distance at z=12 is an observed Pantheon+ measurement. If a cosmological model can extrapolate there, clearly separate model extrapolation from measurement and do not hard-block the qualitative answer.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主要来源：Pantheon+ registered coverage, z≈0.00122–2.26137; official data release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请求红移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z=12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用户问题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Pantheon+ z_min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约 0.00122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注册表/数据产品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Pantheon+ z_max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约 2.26137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注册表/数据产品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coverage_status = outside，因为 12 &gt; 2.26137。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可保留的陈述：模型可在指定参数下外推。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禁止的陈述：Pantheon+ 在 z=12 测得某 luminosity distance。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必须报告 z=12 位于数据覆盖外。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必须明确区分 model extrapolation 与 observed measurement。</w:t>
      </w:r>
    </w:p>
    <w:p>
      <w:pPr>
        <w:pStyle w:val="ListNumber"/>
      </w:pPr>
      <w:r>
        <w:rPr>
          <w:rFonts w:ascii="Arial Unicode MS" w:hAnsi="Arial Unicode MS" w:eastAsia="Arial Unicode MS"/>
        </w:rPr>
        <w:t>状态必须为 limited，不得 hard block。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必须生成 verified_registry 的 dataset_coverage 后端凭证。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verified_registry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dataset_coverage 凭证：数据集版本、z_min/z_max、产品哈希和固定边界说明。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× 2 × 3 =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18.9%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13.9%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16.7%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6. 五个模型在实验 6 两种条件下的得分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6. 五个模型在实验 6 两种条件下的得分率。</w:t>
      </w:r>
    </w:p>
    <w:p>
      <w:pPr>
        <w:pStyle w:val="Heading1"/>
      </w:pPr>
      <w:r>
        <w:t>6. 系统行为审计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verified_registry: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P50=0.009s；max=0.032s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该实验直接检验系统能否把“证据不足”转成有用的有限回答。v0.2 不再把覆盖外请求显示为泛化的 blocked。</w:t>
      </w:r>
    </w:p>
    <w:p>
      <w:pPr>
        <w:pStyle w:val="Heading1"/>
      </w:pPr>
      <w:r>
        <w:t>7.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没有给出任何 z=12 的观测距离。</w:t>
      </w:r>
    </w:p>
    <w:p>
      <w:pPr>
        <w:pStyle w:val="ListBullet"/>
      </w:pPr>
      <w:r>
        <w:rPr>
          <w:rFonts w:ascii="Arial Unicode MS" w:hAnsi="Arial Unicode MS" w:eastAsia="Arial Unicode MS"/>
        </w:rPr>
        <w:t>若给出模型外推，数值仍依赖模型与参数。</w:t>
      </w:r>
    </w:p>
    <w:p>
      <w:pPr>
        <w:pStyle w:val="ListBullet"/>
      </w:pPr>
      <w:r>
        <w:rPr>
          <w:rFonts w:ascii="Arial Unicode MS" w:hAnsi="Arial Unicode MS" w:eastAsia="Arial Unicode MS"/>
        </w:rPr>
        <w:t>verified_registry 不等同于论文原文逐值 verified_exact。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在本任务的 15 个系统辅助样本中，路由、终态、来源/证据与六维自动评分满足预注册要求。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8.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从逐样本 CSV 重算本实验 30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Pantheon+SH0ES official results and full data release.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https://pantheonplussh0es.github.io/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