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60" w:after="280"/>
        <w:jc w:val="center"/>
      </w:pPr>
      <w:r>
        <w:rPr>
          <w:rFonts w:ascii="Arial Unicode MS" w:hAnsi="Arial Unicode MS" w:eastAsia="Arial Unicode MS"/>
          <w:b/>
          <w:color w:val="B9852B"/>
          <w:sz w:val="20"/>
        </w:rPr>
        <w:t>STANDARD ASTRO · TECHNICAL REPORT SERIES</w:t>
      </w:r>
    </w:p>
    <w:p>
      <w:pPr>
        <w:spacing w:after="200"/>
        <w:jc w:val="center"/>
      </w:pPr>
      <w:r>
        <w:rPr>
          <w:rFonts w:ascii="Arial Unicode MS" w:hAnsi="Arial Unicode MS" w:eastAsia="Arial Unicode MS"/>
          <w:b/>
          <w:color w:val="17365D"/>
          <w:sz w:val="56"/>
        </w:rPr>
        <w:t>Standard Astro v0.2 总体技术报告</w:t>
      </w:r>
    </w:p>
    <w:p>
      <w:pPr>
        <w:spacing w:after="160"/>
        <w:jc w:val="center"/>
      </w:pPr>
      <w:r>
        <w:rPr>
          <w:rFonts w:ascii="Arial Unicode MS" w:hAnsi="Arial Unicode MS" w:eastAsia="Arial Unicode MS"/>
          <w:color w:val="1F4D78"/>
          <w:sz w:val="28"/>
        </w:rPr>
        <w:t>灵活但可审计的观测宇宙学研究验证系统</w:t>
      </w:r>
    </w:p>
    <w:p>
      <w:pPr>
        <w:spacing w:after="680"/>
        <w:jc w:val="center"/>
      </w:pPr>
      <w:r>
        <w:rPr>
          <w:rFonts w:ascii="Arial Unicode MS" w:hAnsi="Arial Unicode MS" w:eastAsia="Arial Unicode MS"/>
          <w:i/>
          <w:color w:val="6B7280"/>
          <w:sz w:val="22"/>
        </w:rPr>
        <w:t>System Technical Report: Flexible but Auditable Research Verification for Observational Cosmology</w:t>
      </w:r>
    </w:p>
    <w:tbl>
      <w:tblPr>
        <w:tblW w:type="dxa" w:w="9360"/>
        <w:jc w:val="left"/>
        <w:tblLayout w:type="fixed"/>
        <w:tblLook w:firstColumn="1" w:firstRow="1" w:lastColumn="0" w:lastRow="0" w:noHBand="0" w:noVBand="1" w:val="04A0"/>
        <w:tblInd w:w="120" w:type="dxa"/>
        <w:tblBorders>
          <w:top w:val="single" w:sz="2" w:space="0" w:color="E8EEF5"/>
          <w:left w:val="single" w:sz="2" w:space="0" w:color="E8EEF5"/>
          <w:bottom w:val="single" w:sz="2" w:space="0" w:color="E8EEF5"/>
          <w:right w:val="single" w:sz="2" w:space="0" w:color="E8EEF5"/>
          <w:insideH w:val="single" w:sz="2" w:space="0" w:color="E8EEF5"/>
          <w:insideV w:val="single" w:sz="2" w:space="0" w:color="E8EEF5"/>
        </w:tblBorders>
      </w:tblPr>
      <w:tblGrid>
        <w:gridCol w:w="9360"/>
      </w:tblGrid>
      <w:tr>
        <w:trPr>
          <w:tblHeader w:val="true"/>
        </w:trPr>
        <w:tc>
          <w:tcPr>
            <w:tcW w:type="dxa" w:w="9360"/>
            <w:tcMar>
              <w:top w:w="80" w:type="dxa"/>
              <w:start w:w="120" w:type="dxa"/>
              <w:bottom w:w="80" w:type="dxa"/>
              <w:end w:w="120" w:type="dxa"/>
            </w:tcMar>
            <w:shd w:fill="E8EEF5"/>
          </w:tcPr>
          <w:p>
            <w:pPr>
              <w:spacing w:after="40"/>
            </w:pPr>
            <w:r>
              <w:rPr>
                <w:rFonts w:ascii="Arial Unicode MS" w:hAnsi="Arial Unicode MS" w:eastAsia="Arial Unicode MS"/>
                <w:b/>
                <w:color w:val="1F4D78"/>
                <w:sz w:val="20"/>
              </w:rPr>
              <w:t>核心结论 / Main conclusion</w:t>
            </w:r>
          </w:p>
          <w:p>
            <w:pPr>
              <w:spacing w:after="0"/>
            </w:pPr>
            <w:r>
              <w:rPr>
                <w:rFonts w:ascii="Arial Unicode MS" w:hAnsi="Arial Unicode MS" w:eastAsia="Arial Unicode MS"/>
                <w:color w:val="202A35"/>
                <w:sz w:val="21"/>
              </w:rPr>
              <w:t>Standard Astro v0.2 是位于基础模型与科研结论之间的研究 harness：模型可提出方法，但数值、来源、不确定性和能力边界必须由后端工具、凭证与声明门核实。当前工程实现已完成五模型本地 CLI 接入和两轮 240 样本自动评测：规范措辞矩阵（系统条件由确定性路径应答，模型不在回路）与自然措辞矩阵（模型真实参与）。其定位仍是受控 Alpha，而非自主宇宙学家。</w:t>
            </w:r>
          </w:p>
        </w:tc>
      </w:tr>
    </w:tbl>
    <w:p>
      <w:pPr>
        <w:spacing w:after="20"/>
      </w:pPr>
    </w:p>
    <w:p>
      <w:pPr>
        <w:spacing w:before="720"/>
        <w:jc w:val="center"/>
      </w:pPr>
      <w:r>
        <w:rPr>
          <w:rFonts w:ascii="Arial Unicode MS" w:hAnsi="Arial Unicode MS" w:eastAsia="Arial Unicode MS"/>
          <w:b/>
          <w:color w:val="6B7280"/>
          <w:sz w:val="19"/>
        </w:rPr>
        <w:t xml:space="preserve">报告编号: </w:t>
      </w:r>
      <w:r>
        <w:rPr>
          <w:rFonts w:ascii="Arial Unicode MS" w:hAnsi="Arial Unicode MS" w:eastAsia="Arial Unicode MS"/>
          <w:color w:val="6B7280"/>
          <w:sz w:val="19"/>
        </w:rPr>
        <w:t xml:space="preserve">SA-V02-TR-001    </w:t>
      </w:r>
      <w:r>
        <w:rPr>
          <w:rFonts w:ascii="Arial Unicode MS" w:hAnsi="Arial Unicode MS" w:eastAsia="Arial Unicode MS"/>
          <w:b/>
          <w:color w:val="6B7280"/>
          <w:sz w:val="19"/>
        </w:rPr>
        <w:t xml:space="preserve">版本: </w:t>
      </w:r>
      <w:r>
        <w:rPr>
          <w:rFonts w:ascii="Arial Unicode MS" w:hAnsi="Arial Unicode MS" w:eastAsia="Arial Unicode MS"/>
          <w:color w:val="6B7280"/>
          <w:sz w:val="19"/>
        </w:rPr>
        <w:t xml:space="preserve">1.1    </w:t>
      </w:r>
      <w:r>
        <w:rPr>
          <w:rFonts w:ascii="Arial Unicode MS" w:hAnsi="Arial Unicode MS" w:eastAsia="Arial Unicode MS"/>
          <w:b/>
          <w:color w:val="6B7280"/>
          <w:sz w:val="19"/>
        </w:rPr>
        <w:t xml:space="preserve">日期: </w:t>
      </w:r>
      <w:r>
        <w:rPr>
          <w:rFonts w:ascii="Arial Unicode MS" w:hAnsi="Arial Unicode MS" w:eastAsia="Arial Unicode MS"/>
          <w:color w:val="6B7280"/>
          <w:sz w:val="19"/>
        </w:rPr>
        <w:t xml:space="preserve">2026-08-06    </w:t>
      </w:r>
      <w:r>
        <w:rPr>
          <w:rFonts w:ascii="Arial Unicode MS" w:hAnsi="Arial Unicode MS" w:eastAsia="Arial Unicode MS"/>
          <w:b/>
          <w:color w:val="6B7280"/>
          <w:sz w:val="19"/>
        </w:rPr>
        <w:t xml:space="preserve">状态: </w:t>
      </w:r>
      <w:r>
        <w:rPr>
          <w:rFonts w:ascii="Arial Unicode MS" w:hAnsi="Arial Unicode MS" w:eastAsia="Arial Unicode MS"/>
          <w:color w:val="6B7280"/>
          <w:sz w:val="19"/>
        </w:rPr>
        <w:t xml:space="preserve">专家评审稿 / Draft for Expert Review    </w:t>
      </w:r>
    </w:p>
    <w:p>
      <w:r>
        <w:br w:type="page"/>
      </w:r>
    </w:p>
    <w:p>
      <w:pPr>
        <w:pStyle w:val="Heading1"/>
      </w:pPr>
      <w:r>
        <w:t>文档控制</w:t>
      </w:r>
    </w:p>
    <w:tbl>
      <w:tblPr>
        <w:tblW w:type="dxa" w:w="9360"/>
        <w:tblLayout w:type="fixed"/>
        <w:tblLook w:firstColumn="1" w:firstRow="1" w:lastColumn="0" w:lastRow="0" w:noHBand="0" w:noVBand="1" w:val="04A0"/>
        <w:jc w:val="left"/>
        <w:tblInd w:w="120" w:type="dxa"/>
        <w:tblBorders>
          <w:top w:val="single" w:sz="6" w:space="0" w:color="D7DBE2"/>
          <w:left w:val="single" w:sz="6" w:space="0" w:color="D7DBE2"/>
          <w:bottom w:val="single" w:sz="6" w:space="0" w:color="D7DBE2"/>
          <w:right w:val="single" w:sz="6" w:space="0" w:color="D7DBE2"/>
          <w:insideH w:val="single" w:sz="6" w:space="0" w:color="D7DBE2"/>
          <w:insideV w:val="single" w:sz="6" w:space="0" w:color="D7DBE2"/>
        </w:tblBorders>
      </w:tblPr>
      <w:tblGrid>
        <w:gridCol w:w="1900"/>
        <w:gridCol w:w="7460"/>
      </w:tblGrid>
      <w:tr>
        <w:trPr>
          <w:tblHeader w:val="true"/>
        </w:trPr>
        <w:tc>
          <w:tcPr>
            <w:tcW w:type="dxa" w:w="1900"/>
            <w:tcMar>
              <w:top w:w="80" w:type="dxa"/>
              <w:start w:w="120" w:type="dxa"/>
              <w:bottom w:w="80" w:type="dxa"/>
              <w:end w:w="120" w:type="dxa"/>
            </w:tcMar>
            <w:shd w:fill="F2F4F7"/>
            <w:vAlign w:val="center"/>
          </w:tcPr>
          <w:p>
            <w:pPr>
              <w:spacing w:after="0"/>
              <w:jc w:val="center"/>
            </w:pPr>
            <w:r>
              <w:rPr>
                <w:rFonts w:ascii="Arial Unicode MS" w:hAnsi="Arial Unicode MS" w:eastAsia="Arial Unicode MS"/>
                <w:b/>
                <w:color w:val="17365D"/>
                <w:sz w:val="19"/>
              </w:rPr>
              <w:t>字段</w:t>
            </w:r>
          </w:p>
        </w:tc>
        <w:tc>
          <w:tcPr>
            <w:tcW w:type="dxa" w:w="7460"/>
            <w:tcMar>
              <w:top w:w="80" w:type="dxa"/>
              <w:start w:w="120" w:type="dxa"/>
              <w:bottom w:w="80" w:type="dxa"/>
              <w:end w:w="120" w:type="dxa"/>
            </w:tcMar>
            <w:shd w:fill="F2F4F7"/>
            <w:vAlign w:val="center"/>
          </w:tcPr>
          <w:p>
            <w:pPr>
              <w:spacing w:after="0"/>
              <w:jc w:val="center"/>
            </w:pPr>
            <w:r>
              <w:rPr>
                <w:rFonts w:ascii="Arial Unicode MS" w:hAnsi="Arial Unicode MS" w:eastAsia="Arial Unicode MS"/>
                <w:b/>
                <w:color w:val="17365D"/>
                <w:sz w:val="19"/>
              </w:rPr>
              <w:t>内容</w:t>
            </w:r>
          </w:p>
        </w:tc>
      </w:tr>
      <w:tr>
        <w:tc>
          <w:tcPr>
            <w:tcW w:type="dxa" w:w="1900"/>
            <w:vAlign w:val="center"/>
            <w:tcMar>
              <w:top w:w="80" w:type="dxa"/>
              <w:start w:w="120" w:type="dxa"/>
              <w:bottom w:w="80" w:type="dxa"/>
              <w:end w:w="120" w:type="dxa"/>
            </w:tcMar>
          </w:tcPr>
          <w:p>
            <w:pPr>
              <w:spacing w:after="0"/>
              <w:jc w:val="left"/>
            </w:pPr>
            <w:r>
              <w:rPr>
                <w:rFonts w:ascii="Arial Unicode MS" w:hAnsi="Arial Unicode MS" w:eastAsia="Arial Unicode MS"/>
                <w:sz w:val="18"/>
              </w:rPr>
              <w:t>报告编号</w:t>
            </w:r>
          </w:p>
        </w:tc>
        <w:tc>
          <w:tcPr>
            <w:tcW w:type="dxa" w:w="7460"/>
            <w:vAlign w:val="center"/>
            <w:tcMar>
              <w:top w:w="80" w:type="dxa"/>
              <w:start w:w="120" w:type="dxa"/>
              <w:bottom w:w="80" w:type="dxa"/>
              <w:end w:w="120" w:type="dxa"/>
            </w:tcMar>
          </w:tcPr>
          <w:p>
            <w:pPr>
              <w:spacing w:after="0"/>
              <w:jc w:val="left"/>
            </w:pPr>
            <w:r>
              <w:rPr>
                <w:rFonts w:ascii="Arial Unicode MS" w:hAnsi="Arial Unicode MS" w:eastAsia="Arial Unicode MS"/>
                <w:sz w:val="18"/>
              </w:rPr>
              <w:t>SA-V02-TR-001</w:t>
            </w:r>
          </w:p>
        </w:tc>
      </w:tr>
      <w:tr>
        <w:tc>
          <w:tcPr>
            <w:tcW w:type="dxa" w:w="1900"/>
            <w:vAlign w:val="center"/>
            <w:tcMar>
              <w:top w:w="80" w:type="dxa"/>
              <w:start w:w="120" w:type="dxa"/>
              <w:bottom w:w="80" w:type="dxa"/>
              <w:end w:w="120" w:type="dxa"/>
            </w:tcMar>
          </w:tcPr>
          <w:p>
            <w:pPr>
              <w:spacing w:after="0"/>
              <w:jc w:val="left"/>
            </w:pPr>
            <w:r>
              <w:rPr>
                <w:rFonts w:ascii="Arial Unicode MS" w:hAnsi="Arial Unicode MS" w:eastAsia="Arial Unicode MS"/>
                <w:sz w:val="18"/>
              </w:rPr>
              <w:t>版本</w:t>
            </w:r>
          </w:p>
        </w:tc>
        <w:tc>
          <w:tcPr>
            <w:tcW w:type="dxa" w:w="7460"/>
            <w:vAlign w:val="center"/>
            <w:tcMar>
              <w:top w:w="80" w:type="dxa"/>
              <w:start w:w="120" w:type="dxa"/>
              <w:bottom w:w="80" w:type="dxa"/>
              <w:end w:w="120" w:type="dxa"/>
            </w:tcMar>
          </w:tcPr>
          <w:p>
            <w:pPr>
              <w:spacing w:after="0"/>
              <w:jc w:val="left"/>
            </w:pPr>
            <w:r>
              <w:rPr>
                <w:rFonts w:ascii="Arial Unicode MS" w:hAnsi="Arial Unicode MS" w:eastAsia="Arial Unicode MS"/>
                <w:sz w:val="18"/>
              </w:rPr>
              <w:t>1.1</w:t>
            </w:r>
          </w:p>
        </w:tc>
      </w:tr>
      <w:tr>
        <w:tc>
          <w:tcPr>
            <w:tcW w:type="dxa" w:w="1900"/>
            <w:vAlign w:val="center"/>
            <w:tcMar>
              <w:top w:w="80" w:type="dxa"/>
              <w:start w:w="120" w:type="dxa"/>
              <w:bottom w:w="80" w:type="dxa"/>
              <w:end w:w="120" w:type="dxa"/>
            </w:tcMar>
          </w:tcPr>
          <w:p>
            <w:pPr>
              <w:spacing w:after="0"/>
              <w:jc w:val="left"/>
            </w:pPr>
            <w:r>
              <w:rPr>
                <w:rFonts w:ascii="Arial Unicode MS" w:hAnsi="Arial Unicode MS" w:eastAsia="Arial Unicode MS"/>
                <w:sz w:val="18"/>
              </w:rPr>
              <w:t>发布日期</w:t>
            </w:r>
          </w:p>
        </w:tc>
        <w:tc>
          <w:tcPr>
            <w:tcW w:type="dxa" w:w="7460"/>
            <w:vAlign w:val="center"/>
            <w:tcMar>
              <w:top w:w="80" w:type="dxa"/>
              <w:start w:w="120" w:type="dxa"/>
              <w:bottom w:w="80" w:type="dxa"/>
              <w:end w:w="120" w:type="dxa"/>
            </w:tcMar>
          </w:tcPr>
          <w:p>
            <w:pPr>
              <w:spacing w:after="0"/>
              <w:jc w:val="left"/>
            </w:pPr>
            <w:r>
              <w:rPr>
                <w:rFonts w:ascii="Arial Unicode MS" w:hAnsi="Arial Unicode MS" w:eastAsia="Arial Unicode MS"/>
                <w:sz w:val="18"/>
              </w:rPr>
              <w:t>2026-08-06</w:t>
            </w:r>
          </w:p>
        </w:tc>
      </w:tr>
      <w:tr>
        <w:tc>
          <w:tcPr>
            <w:tcW w:type="dxa" w:w="1900"/>
            <w:vAlign w:val="center"/>
            <w:tcMar>
              <w:top w:w="80" w:type="dxa"/>
              <w:start w:w="120" w:type="dxa"/>
              <w:bottom w:w="80" w:type="dxa"/>
              <w:end w:w="120" w:type="dxa"/>
            </w:tcMar>
          </w:tcPr>
          <w:p>
            <w:pPr>
              <w:spacing w:after="0"/>
              <w:jc w:val="left"/>
            </w:pPr>
            <w:r>
              <w:rPr>
                <w:rFonts w:ascii="Arial Unicode MS" w:hAnsi="Arial Unicode MS" w:eastAsia="Arial Unicode MS"/>
                <w:sz w:val="18"/>
              </w:rPr>
              <w:t>状态</w:t>
            </w:r>
          </w:p>
        </w:tc>
        <w:tc>
          <w:tcPr>
            <w:tcW w:type="dxa" w:w="7460"/>
            <w:vAlign w:val="center"/>
            <w:tcMar>
              <w:top w:w="80" w:type="dxa"/>
              <w:start w:w="120" w:type="dxa"/>
              <w:bottom w:w="80" w:type="dxa"/>
              <w:end w:w="120" w:type="dxa"/>
            </w:tcMar>
          </w:tcPr>
          <w:p>
            <w:pPr>
              <w:spacing w:after="0"/>
              <w:jc w:val="left"/>
            </w:pPr>
            <w:r>
              <w:rPr>
                <w:rFonts w:ascii="Arial Unicode MS" w:hAnsi="Arial Unicode MS" w:eastAsia="Arial Unicode MS"/>
                <w:sz w:val="18"/>
              </w:rPr>
              <w:t>专家评审稿 / Draft for Expert Review</w:t>
            </w:r>
          </w:p>
        </w:tc>
      </w:tr>
      <w:tr>
        <w:tc>
          <w:tcPr>
            <w:tcW w:type="dxa" w:w="1900"/>
            <w:vAlign w:val="center"/>
            <w:tcMar>
              <w:top w:w="80" w:type="dxa"/>
              <w:start w:w="120" w:type="dxa"/>
              <w:bottom w:w="80" w:type="dxa"/>
              <w:end w:w="120" w:type="dxa"/>
            </w:tcMar>
          </w:tcPr>
          <w:p>
            <w:pPr>
              <w:spacing w:after="0"/>
              <w:jc w:val="left"/>
            </w:pPr>
            <w:r>
              <w:rPr>
                <w:rFonts w:ascii="Arial Unicode MS" w:hAnsi="Arial Unicode MS" w:eastAsia="Arial Unicode MS"/>
                <w:sz w:val="18"/>
              </w:rPr>
              <w:t>统计基线</w:t>
            </w:r>
          </w:p>
        </w:tc>
        <w:tc>
          <w:tcPr>
            <w:tcW w:type="dxa" w:w="7460"/>
            <w:vAlign w:val="center"/>
            <w:tcMar>
              <w:top w:w="80" w:type="dxa"/>
              <w:start w:w="120" w:type="dxa"/>
              <w:bottom w:w="80" w:type="dxa"/>
              <w:end w:w="120" w:type="dxa"/>
            </w:tcMar>
          </w:tcPr>
          <w:p>
            <w:pPr>
              <w:spacing w:after="0"/>
              <w:jc w:val="left"/>
            </w:pPr>
            <w:r>
              <w:rPr>
                <w:rFonts w:ascii="Arial Unicode MS" w:hAnsi="Arial Unicode MS" w:eastAsia="Arial Unicode MS"/>
                <w:sz w:val="18"/>
              </w:rPr>
              <w:t>5 模型 × 2 条件 × 8 任务 × 3 次重复 = 240 个正式样本</w:t>
            </w:r>
          </w:p>
        </w:tc>
      </w:tr>
      <w:tr>
        <w:tc>
          <w:tcPr>
            <w:tcW w:type="dxa" w:w="1900"/>
            <w:vAlign w:val="center"/>
            <w:tcMar>
              <w:top w:w="80" w:type="dxa"/>
              <w:start w:w="120" w:type="dxa"/>
              <w:bottom w:w="80" w:type="dxa"/>
              <w:end w:w="120" w:type="dxa"/>
            </w:tcMar>
          </w:tcPr>
          <w:p>
            <w:pPr>
              <w:spacing w:after="0"/>
              <w:jc w:val="left"/>
            </w:pPr>
            <w:r>
              <w:rPr>
                <w:rFonts w:ascii="Arial Unicode MS" w:hAnsi="Arial Unicode MS" w:eastAsia="Arial Unicode MS"/>
                <w:sz w:val="18"/>
              </w:rPr>
              <w:t>适用范围</w:t>
            </w:r>
          </w:p>
        </w:tc>
        <w:tc>
          <w:tcPr>
            <w:tcW w:type="dxa" w:w="7460"/>
            <w:vAlign w:val="center"/>
            <w:tcMar>
              <w:top w:w="80" w:type="dxa"/>
              <w:start w:w="120" w:type="dxa"/>
              <w:bottom w:w="80" w:type="dxa"/>
              <w:end w:w="120" w:type="dxa"/>
            </w:tcMar>
          </w:tcPr>
          <w:p>
            <w:pPr>
              <w:spacing w:after="0"/>
              <w:jc w:val="left"/>
            </w:pPr>
            <w:r>
              <w:rPr>
                <w:rFonts w:ascii="Arial Unicode MS" w:hAnsi="Arial Unicode MS" w:eastAsia="Arial Unicode MS"/>
                <w:sz w:val="18"/>
              </w:rPr>
              <w:t>Standard Astro v0.2 的系统定位、组件、信任边界、接口、运行路线、验证证据与剩余发布风险。</w:t>
            </w:r>
          </w:p>
        </w:tc>
      </w:tr>
      <w:tr>
        <w:tc>
          <w:tcPr>
            <w:tcW w:type="dxa" w:w="1900"/>
            <w:vAlign w:val="center"/>
            <w:tcMar>
              <w:top w:w="80" w:type="dxa"/>
              <w:start w:w="120" w:type="dxa"/>
              <w:bottom w:w="80" w:type="dxa"/>
              <w:end w:w="120" w:type="dxa"/>
            </w:tcMar>
          </w:tcPr>
          <w:p>
            <w:pPr>
              <w:spacing w:after="0"/>
              <w:jc w:val="left"/>
            </w:pPr>
            <w:r>
              <w:rPr>
                <w:rFonts w:ascii="Arial Unicode MS" w:hAnsi="Arial Unicode MS" w:eastAsia="Arial Unicode MS"/>
                <w:sz w:val="18"/>
              </w:rPr>
              <w:t>独立复核</w:t>
            </w:r>
          </w:p>
        </w:tc>
        <w:tc>
          <w:tcPr>
            <w:tcW w:type="dxa" w:w="7460"/>
            <w:vAlign w:val="center"/>
            <w:tcMar>
              <w:top w:w="80" w:type="dxa"/>
              <w:start w:w="120" w:type="dxa"/>
              <w:bottom w:w="80" w:type="dxa"/>
              <w:end w:w="120" w:type="dxa"/>
            </w:tcMar>
          </w:tcPr>
          <w:p>
            <w:pPr>
              <w:spacing w:after="0"/>
              <w:jc w:val="left"/>
            </w:pPr>
            <w:r>
              <w:rPr>
                <w:rFonts w:ascii="Arial Unicode MS" w:hAnsi="Arial Unicode MS" w:eastAsia="Arial Unicode MS"/>
                <w:sz w:val="18"/>
              </w:rPr>
              <w:t>博士后 12 组匿名 A/B 盲评尚未完成</w:t>
            </w:r>
          </w:p>
        </w:tc>
      </w:tr>
    </w:tbl>
    <w:p>
      <w:pPr>
        <w:spacing w:after="20"/>
      </w:pPr>
    </w:p>
    <w:p>
      <w:pPr>
        <w:pStyle w:val="Heading1"/>
      </w:pPr>
      <w:r>
        <w:t>技术摘要</w:t>
      </w:r>
    </w:p>
    <w:p>
      <w:r>
        <w:rPr>
          <w:rFonts w:ascii="Arial Unicode MS" w:hAnsi="Arial Unicode MS" w:eastAsia="Arial Unicode MS"/>
        </w:rPr>
        <w:t>Standard Astro 的目标不是训练一个新的基础模型，而是为现有模型增加可执行工具、来源解析、确定性计算、结构化凭证和失败关闭声明门。v0.2 重点修复了“简单论文计算被误路由为完整拟合”的问题，并把 full、limited、abstention、refusal 与 hard_block 的语义分开。</w:t>
      </w:r>
    </w:p>
    <w:p>
      <w:r>
        <w:rPr>
          <w:rFonts w:ascii="Arial Unicode MS" w:hAnsi="Arial Unicode MS" w:eastAsia="Arial Unicode MS"/>
        </w:rPr>
        <w:t>系统现在支持四类任务：deterministic_source_check、research_exploration、full_research 和 general。只有出现未被否定的拟合、采样、后验或 likelihood 比较意图时，重型路线才被允许。明确输入和公式的标量任务使用受控运算，不执行模型生成代码。</w:t>
      </w:r>
    </w:p>
    <w:p>
      <w:r>
        <w:rPr>
          <w:rFonts w:ascii="Arial Unicode MS" w:hAnsi="Arial Unicode MS" w:eastAsia="Arial Unicode MS"/>
        </w:rPr>
        <w:t>自动评测分两轮，各 240 个正式样本。第一轮规范措辞矩阵中，Standard Astro 条件取得 1440/1440——必须如实说明：该轮题目使用系统路由器可直接识别的规范语言，7/8 任务由确定性代码路径在毫秒级应答，模型不在回路，因此这组满分是管道与审计规则的自洽性验证（相当于回归测试），不构成模型行为证据。真实的模型对照基线是裸模型条件的 839/1440（58.3%）。</w:t>
      </w:r>
    </w:p>
    <w:p>
      <w:r>
        <w:rPr>
          <w:rFonts w:ascii="Arial Unicode MS" w:hAnsi="Arial Unicode MS" w:eastAsia="Arial Unicode MS"/>
        </w:rPr>
        <w:t>第二轮自然措辞矩阵（2026-08-06 冻结）把同样 8 道题改写为研究者的自然问法并记录每个样本的模型调用次数：系统条件 120 个样本中确定性通道接走 30 个、模型真实参与 90 个；模型在回路层得分 832/1080（77.0%，n=90），裸模型 671/1440（46.6%，n=120）。逃逸原始标记 22 起——人工核读判定系统侧真实洗白 0、复述未验证数字 0/15（裸模型 15/15 复述），系统侧标记均为否定语境子串误报，判读见《测试结果综述》第 8 节。两轮结果均只证明当前题集与规则下的行为，不能替代专家科学评审。</w:t>
      </w:r>
    </w:p>
    <w:p>
      <w:pPr>
        <w:pStyle w:val="Heading2"/>
      </w:pPr>
      <w:r>
        <w:t>English technical summary</w:t>
      </w:r>
    </w:p>
    <w:p>
      <w:r>
        <w:rPr>
          <w:rFonts w:ascii="Arial Unicode MS" w:hAnsi="Arial Unicode MS" w:eastAsia="Arial Unicode MS"/>
        </w:rPr>
        <w:t>Standard Astro v0.2 is a research harness between a foundation model and a scientific claim. The model remains free to interpret a question and propose methods, while backend routing, controlled calculations, source resolution, hashed evidence receipts, and claim gates determine what can be presented as verified. Two 240-sample matrices are reported. In the spec-language matrix the system arm was answered by the deterministic route with the model not in the loop, so its perfect score verifies pipeline/audit self-consistency rather than model behavior; the bare-model 58.3% is the genuine behavioral baseline. The natural-phrasing matrix rephrases the same tasks the way a working cosmologist would and stratifies system results by recorded model participation. The current evaluation supports a controlled Alpha demonstration, not autonomous scientific inference or replacement of expert review.</w:t>
      </w:r>
    </w:p>
    <w:p>
      <w:pPr>
        <w:pStyle w:val="Heading1"/>
      </w:pPr>
      <w:r>
        <w:t>1. 系统定位与设计原则</w:t>
      </w:r>
    </w:p>
    <w:tbl>
      <w:tblPr>
        <w:tblW w:type="dxa" w:w="9360"/>
        <w:jc w:val="left"/>
        <w:tblLayout w:type="fixed"/>
        <w:tblLook w:firstColumn="1" w:firstRow="1" w:lastColumn="0" w:lastRow="0" w:noHBand="0" w:noVBand="1" w:val="04A0"/>
        <w:tblInd w:w="120" w:type="dxa"/>
        <w:tblBorders>
          <w:top w:val="single" w:sz="2" w:space="0" w:color="FFF7E6"/>
          <w:left w:val="single" w:sz="2" w:space="0" w:color="FFF7E6"/>
          <w:bottom w:val="single" w:sz="2" w:space="0" w:color="FFF7E6"/>
          <w:right w:val="single" w:sz="2" w:space="0" w:color="FFF7E6"/>
          <w:insideH w:val="single" w:sz="2" w:space="0" w:color="FFF7E6"/>
          <w:insideV w:val="single" w:sz="2" w:space="0" w:color="FFF7E6"/>
        </w:tblBorders>
      </w:tblPr>
      <w:tblGrid>
        <w:gridCol w:w="9360"/>
      </w:tblGrid>
      <w:tr>
        <w:trPr>
          <w:tblHeader w:val="true"/>
        </w:trPr>
        <w:tc>
          <w:tcPr>
            <w:tcW w:type="dxa" w:w="9360"/>
            <w:tcMar>
              <w:top w:w="80" w:type="dxa"/>
              <w:start w:w="120" w:type="dxa"/>
              <w:bottom w:w="80" w:type="dxa"/>
              <w:end w:w="120" w:type="dxa"/>
            </w:tcMar>
            <w:shd w:fill="FFF7E6"/>
          </w:tcPr>
          <w:p>
            <w:pPr>
              <w:spacing w:after="40"/>
            </w:pPr>
            <w:r>
              <w:rPr>
                <w:rFonts w:ascii="Arial Unicode MS" w:hAnsi="Arial Unicode MS" w:eastAsia="Arial Unicode MS"/>
                <w:b/>
                <w:color w:val="1F4D78"/>
                <w:sz w:val="20"/>
              </w:rPr>
              <w:t>正式定位</w:t>
            </w:r>
          </w:p>
          <w:p>
            <w:pPr>
              <w:spacing w:after="0"/>
            </w:pPr>
            <w:r>
              <w:rPr>
                <w:rFonts w:ascii="Arial Unicode MS" w:hAnsi="Arial Unicode MS" w:eastAsia="Arial Unicode MS"/>
                <w:color w:val="202A35"/>
                <w:sz w:val="21"/>
              </w:rPr>
              <w:t>面向观测宇宙学的可审计研究助手与模型 harness；不应宣传为“AI 宇宙学家”或“自动复现任意论文的系统”。</w:t>
            </w:r>
          </w:p>
        </w:tc>
      </w:tr>
    </w:tbl>
    <w:p>
      <w:pPr>
        <w:spacing w:after="20"/>
      </w:pPr>
    </w:p>
    <w:p>
      <w:pPr>
        <w:pStyle w:val="ListBullet"/>
      </w:pPr>
      <w:r>
        <w:rPr>
          <w:rFonts w:ascii="Arial Unicode MS" w:hAnsi="Arial Unicode MS" w:eastAsia="Arial Unicode MS"/>
        </w:rPr>
        <w:t>模型负责：理解语言、提出候选解释、组织研究叙述和选择可能的方法。</w:t>
      </w:r>
    </w:p>
    <w:p>
      <w:pPr>
        <w:pStyle w:val="ListBullet"/>
      </w:pPr>
      <w:r>
        <w:rPr>
          <w:rFonts w:ascii="Arial Unicode MS" w:hAnsi="Arial Unicode MS" w:eastAsia="Arial Unicode MS"/>
        </w:rPr>
        <w:t>后端负责：任务分流、数据与来源访问、受控计算、误差传播、证据哈希、状态语义和最终声明门。</w:t>
      </w:r>
    </w:p>
    <w:p>
      <w:pPr>
        <w:pStyle w:val="ListBullet"/>
      </w:pPr>
      <w:r>
        <w:rPr>
          <w:rFonts w:ascii="Arial Unicode MS" w:hAnsi="Arial Unicode MS" w:eastAsia="Arial Unicode MS"/>
        </w:rPr>
        <w:t>自由放在探索阶段；严格放在把内容升级为可信科研结论的阶段。</w:t>
      </w:r>
    </w:p>
    <w:p>
      <w:pPr>
        <w:pStyle w:val="ListBullet"/>
      </w:pPr>
      <w:r>
        <w:rPr>
          <w:rFonts w:ascii="Arial Unicode MS" w:hAnsi="Arial Unicode MS" w:eastAsia="Arial Unicode MS"/>
        </w:rPr>
        <w:t>计算正确不自动等于方法适用；来源可定位不自动等于论文已复现。</w:t>
      </w:r>
    </w:p>
    <w:p>
      <w:pPr>
        <w:pStyle w:val="ListBullet"/>
      </w:pPr>
      <w:r>
        <w:rPr>
          <w:rFonts w:ascii="Arial Unicode MS" w:hAnsi="Arial Unicode MS" w:eastAsia="Arial Unicode MS"/>
        </w:rPr>
        <w:t>失败时优先给可恢复的 limited/abstention，而不是把所有证据不足都显示为 blocked。</w:t>
      </w:r>
    </w:p>
    <w:p>
      <w:pPr>
        <w:keepNext/>
        <w:jc w:val="center"/>
      </w:pPr>
      <w:r>
        <w:drawing>
          <wp:inline xmlns:a="http://schemas.openxmlformats.org/drawingml/2006/main" xmlns:pic="http://schemas.openxmlformats.org/drawingml/2006/picture">
            <wp:extent cx="5897880" cy="3184855"/>
            <wp:docPr id="1" name="Picture 1" descr="图 1. Standard Astro v0.2 的任务分流、证据生成和声明门。"/>
            <wp:cNvGraphicFramePr>
              <a:graphicFrameLocks noChangeAspect="1"/>
            </wp:cNvGraphicFramePr>
            <a:graphic>
              <a:graphicData uri="http://schemas.openxmlformats.org/drawingml/2006/picture">
                <pic:pic>
                  <pic:nvPicPr>
                    <pic:cNvPr id="0" name="system_architecture.png"/>
                    <pic:cNvPicPr/>
                  </pic:nvPicPr>
                  <pic:blipFill>
                    <a:blip r:embed="rId11"/>
                    <a:stretch>
                      <a:fillRect/>
                    </a:stretch>
                  </pic:blipFill>
                  <pic:spPr>
                    <a:xfrm>
                      <a:off x="0" y="0"/>
                      <a:ext cx="5897880" cy="3184855"/>
                    </a:xfrm>
                    <a:prstGeom prst="rect"/>
                  </pic:spPr>
                </pic:pic>
              </a:graphicData>
            </a:graphic>
          </wp:inline>
        </w:drawing>
      </w:r>
    </w:p>
    <w:p>
      <w:pPr>
        <w:spacing w:before="60" w:after="160"/>
        <w:jc w:val="center"/>
      </w:pPr>
      <w:r>
        <w:rPr>
          <w:rFonts w:ascii="Arial Unicode MS" w:hAnsi="Arial Unicode MS" w:eastAsia="Arial Unicode MS"/>
          <w:i/>
          <w:color w:val="6B7280"/>
          <w:sz w:val="18"/>
        </w:rPr>
        <w:t>图 1. Standard Astro v0.2 的任务分流、证据生成和声明门。</w:t>
      </w:r>
    </w:p>
    <w:p>
      <w:pPr>
        <w:pStyle w:val="Heading1"/>
      </w:pPr>
      <w:r>
        <w:t>2. 总体架构</w:t>
      </w:r>
    </w:p>
    <w:p>
      <w:r>
        <w:rPr>
          <w:rFonts w:ascii="Arial Unicode MS" w:hAnsi="Arial Unicode MS" w:eastAsia="Arial Unicode MS"/>
        </w:rPr>
        <w:t>系统沿用 React/TypeScript 前端、FastAPI 后端、工具 dispatcher、来源连接器、SQL/缓存与可选后台 worker 的全栈结构。v0.2 的主要变化集中在聊天主循环内部：只计算一次统一 RoutingDecision，后续计划、工具和最终降级文案均读取同一决定。</w:t>
      </w:r>
    </w:p>
    <w:tbl>
      <w:tblPr>
        <w:tblW w:type="dxa" w:w="9360"/>
        <w:tblLayout w:type="fixed"/>
        <w:tblLook w:firstColumn="1" w:firstRow="1" w:lastColumn="0" w:lastRow="0" w:noHBand="0" w:noVBand="1" w:val="04A0"/>
        <w:jc w:val="left"/>
        <w:tblInd w:w="120" w:type="dxa"/>
        <w:tblBorders>
          <w:top w:val="single" w:sz="6" w:space="0" w:color="D7DBE2"/>
          <w:left w:val="single" w:sz="6" w:space="0" w:color="D7DBE2"/>
          <w:bottom w:val="single" w:sz="6" w:space="0" w:color="D7DBE2"/>
          <w:right w:val="single" w:sz="6" w:space="0" w:color="D7DBE2"/>
          <w:insideH w:val="single" w:sz="6" w:space="0" w:color="D7DBE2"/>
          <w:insideV w:val="single" w:sz="6" w:space="0" w:color="D7DBE2"/>
        </w:tblBorders>
      </w:tblPr>
      <w:tblGrid>
        <w:gridCol w:w="1100"/>
        <w:gridCol w:w="2180"/>
        <w:gridCol w:w="2940"/>
        <w:gridCol w:w="3140"/>
      </w:tblGrid>
      <w:tr>
        <w:trPr>
          <w:tblHeader w:val="true"/>
        </w:trPr>
        <w:tc>
          <w:tcPr>
            <w:tcW w:type="dxa" w:w="1100"/>
            <w:tcMar>
              <w:top w:w="80" w:type="dxa"/>
              <w:start w:w="120" w:type="dxa"/>
              <w:bottom w:w="80" w:type="dxa"/>
              <w:end w:w="120" w:type="dxa"/>
            </w:tcMar>
            <w:shd w:fill="F2F4F7"/>
            <w:vAlign w:val="center"/>
          </w:tcPr>
          <w:p>
            <w:pPr>
              <w:spacing w:after="0"/>
              <w:jc w:val="center"/>
            </w:pPr>
            <w:r>
              <w:rPr>
                <w:rFonts w:ascii="Arial Unicode MS" w:hAnsi="Arial Unicode MS" w:eastAsia="Arial Unicode MS"/>
                <w:b/>
                <w:color w:val="17365D"/>
                <w:sz w:val="19"/>
              </w:rPr>
              <w:t>层</w:t>
            </w:r>
          </w:p>
        </w:tc>
        <w:tc>
          <w:tcPr>
            <w:tcW w:type="dxa" w:w="2180"/>
            <w:tcMar>
              <w:top w:w="80" w:type="dxa"/>
              <w:start w:w="120" w:type="dxa"/>
              <w:bottom w:w="80" w:type="dxa"/>
              <w:end w:w="120" w:type="dxa"/>
            </w:tcMar>
            <w:shd w:fill="F2F4F7"/>
            <w:vAlign w:val="center"/>
          </w:tcPr>
          <w:p>
            <w:pPr>
              <w:spacing w:after="0"/>
              <w:jc w:val="center"/>
            </w:pPr>
            <w:r>
              <w:rPr>
                <w:rFonts w:ascii="Arial Unicode MS" w:hAnsi="Arial Unicode MS" w:eastAsia="Arial Unicode MS"/>
                <w:b/>
                <w:color w:val="17365D"/>
                <w:sz w:val="19"/>
              </w:rPr>
              <w:t>v0.2 组件</w:t>
            </w:r>
          </w:p>
        </w:tc>
        <w:tc>
          <w:tcPr>
            <w:tcW w:type="dxa" w:w="2940"/>
            <w:tcMar>
              <w:top w:w="80" w:type="dxa"/>
              <w:start w:w="120" w:type="dxa"/>
              <w:bottom w:w="80" w:type="dxa"/>
              <w:end w:w="120" w:type="dxa"/>
            </w:tcMar>
            <w:shd w:fill="F2F4F7"/>
            <w:vAlign w:val="center"/>
          </w:tcPr>
          <w:p>
            <w:pPr>
              <w:spacing w:after="0"/>
              <w:jc w:val="center"/>
            </w:pPr>
            <w:r>
              <w:rPr>
                <w:rFonts w:ascii="Arial Unicode MS" w:hAnsi="Arial Unicode MS" w:eastAsia="Arial Unicode MS"/>
                <w:b/>
                <w:color w:val="17365D"/>
                <w:sz w:val="19"/>
              </w:rPr>
              <w:t>主要责任</w:t>
            </w:r>
          </w:p>
        </w:tc>
        <w:tc>
          <w:tcPr>
            <w:tcW w:type="dxa" w:w="3140"/>
            <w:tcMar>
              <w:top w:w="80" w:type="dxa"/>
              <w:start w:w="120" w:type="dxa"/>
              <w:bottom w:w="80" w:type="dxa"/>
              <w:end w:w="120" w:type="dxa"/>
            </w:tcMar>
            <w:shd w:fill="F2F4F7"/>
            <w:vAlign w:val="center"/>
          </w:tcPr>
          <w:p>
            <w:pPr>
              <w:spacing w:after="0"/>
              <w:jc w:val="center"/>
            </w:pPr>
            <w:r>
              <w:rPr>
                <w:rFonts w:ascii="Arial Unicode MS" w:hAnsi="Arial Unicode MS" w:eastAsia="Arial Unicode MS"/>
                <w:b/>
                <w:color w:val="17365D"/>
                <w:sz w:val="19"/>
              </w:rPr>
              <w:t>可信边界</w:t>
            </w:r>
          </w:p>
        </w:tc>
      </w:tr>
      <w:tr>
        <w:tc>
          <w:tcPr>
            <w:tcW w:type="dxa" w:w="1100"/>
            <w:vAlign w:val="center"/>
            <w:tcMar>
              <w:top w:w="80" w:type="dxa"/>
              <w:start w:w="120" w:type="dxa"/>
              <w:bottom w:w="80" w:type="dxa"/>
              <w:end w:w="120" w:type="dxa"/>
            </w:tcMar>
          </w:tcPr>
          <w:p>
            <w:pPr>
              <w:spacing w:after="0"/>
              <w:jc w:val="left"/>
            </w:pPr>
            <w:r>
              <w:rPr>
                <w:rFonts w:ascii="Arial Unicode MS" w:hAnsi="Arial Unicode MS" w:eastAsia="Arial Unicode MS"/>
                <w:sz w:val="18"/>
              </w:rPr>
              <w:t>交互层</w:t>
            </w:r>
          </w:p>
        </w:tc>
        <w:tc>
          <w:tcPr>
            <w:tcW w:type="dxa" w:w="2180"/>
            <w:vAlign w:val="center"/>
            <w:tcMar>
              <w:top w:w="80" w:type="dxa"/>
              <w:start w:w="120" w:type="dxa"/>
              <w:bottom w:w="80" w:type="dxa"/>
              <w:end w:w="120" w:type="dxa"/>
            </w:tcMar>
          </w:tcPr>
          <w:p>
            <w:pPr>
              <w:spacing w:after="0"/>
              <w:jc w:val="left"/>
            </w:pPr>
            <w:r>
              <w:rPr>
                <w:rFonts w:ascii="Arial Unicode MS" w:hAnsi="Arial Unicode MS" w:eastAsia="Arial Unicode MS"/>
                <w:sz w:val="18"/>
              </w:rPr>
              <w:t>Chat UI、Validation Badge、Evidence Receipt Card</w:t>
            </w:r>
          </w:p>
        </w:tc>
        <w:tc>
          <w:tcPr>
            <w:tcW w:type="dxa" w:w="2940"/>
            <w:vAlign w:val="center"/>
            <w:tcMar>
              <w:top w:w="80" w:type="dxa"/>
              <w:start w:w="120" w:type="dxa"/>
              <w:bottom w:w="80" w:type="dxa"/>
              <w:end w:w="120" w:type="dxa"/>
            </w:tcMar>
          </w:tcPr>
          <w:p>
            <w:pPr>
              <w:spacing w:after="0"/>
              <w:jc w:val="left"/>
            </w:pPr>
            <w:r>
              <w:rPr>
                <w:rFonts w:ascii="Arial Unicode MS" w:hAnsi="Arial Unicode MS" w:eastAsia="Arial Unicode MS"/>
                <w:sz w:val="18"/>
              </w:rPr>
              <w:t>展示状态、公式、来源与边界</w:t>
            </w:r>
          </w:p>
        </w:tc>
        <w:tc>
          <w:tcPr>
            <w:tcW w:type="dxa" w:w="3140"/>
            <w:vAlign w:val="center"/>
            <w:tcMar>
              <w:top w:w="80" w:type="dxa"/>
              <w:start w:w="120" w:type="dxa"/>
              <w:bottom w:w="80" w:type="dxa"/>
              <w:end w:w="120" w:type="dxa"/>
            </w:tcMar>
          </w:tcPr>
          <w:p>
            <w:pPr>
              <w:spacing w:after="0"/>
              <w:jc w:val="left"/>
            </w:pPr>
            <w:r>
              <w:rPr>
                <w:rFonts w:ascii="Arial Unicode MS" w:hAnsi="Arial Unicode MS" w:eastAsia="Arial Unicode MS"/>
                <w:sz w:val="18"/>
              </w:rPr>
              <w:t>旧 schema 消息兼容；大正文不写入历史</w:t>
            </w:r>
          </w:p>
        </w:tc>
      </w:tr>
      <w:tr>
        <w:tc>
          <w:tcPr>
            <w:tcW w:type="dxa" w:w="1100"/>
            <w:vAlign w:val="center"/>
            <w:tcMar>
              <w:top w:w="80" w:type="dxa"/>
              <w:start w:w="120" w:type="dxa"/>
              <w:bottom w:w="80" w:type="dxa"/>
              <w:end w:w="120" w:type="dxa"/>
            </w:tcMar>
          </w:tcPr>
          <w:p>
            <w:pPr>
              <w:spacing w:after="0"/>
              <w:jc w:val="left"/>
            </w:pPr>
            <w:r>
              <w:rPr>
                <w:rFonts w:ascii="Arial Unicode MS" w:hAnsi="Arial Unicode MS" w:eastAsia="Arial Unicode MS"/>
                <w:sz w:val="18"/>
              </w:rPr>
              <w:t>路由层</w:t>
            </w:r>
          </w:p>
        </w:tc>
        <w:tc>
          <w:tcPr>
            <w:tcW w:type="dxa" w:w="2180"/>
            <w:vAlign w:val="center"/>
            <w:tcMar>
              <w:top w:w="80" w:type="dxa"/>
              <w:start w:w="120" w:type="dxa"/>
              <w:bottom w:w="80" w:type="dxa"/>
              <w:end w:w="120" w:type="dxa"/>
            </w:tcMar>
          </w:tcPr>
          <w:p>
            <w:pPr>
              <w:spacing w:after="0"/>
              <w:jc w:val="left"/>
            </w:pPr>
            <w:r>
              <w:rPr>
                <w:rFonts w:ascii="Arial Unicode MS" w:hAnsi="Arial Unicode MS" w:eastAsia="Arial Unicode MS"/>
                <w:sz w:val="18"/>
              </w:rPr>
              <w:t>RoutingDecision / TaskKind</w:t>
            </w:r>
          </w:p>
        </w:tc>
        <w:tc>
          <w:tcPr>
            <w:tcW w:type="dxa" w:w="2940"/>
            <w:vAlign w:val="center"/>
            <w:tcMar>
              <w:top w:w="80" w:type="dxa"/>
              <w:start w:w="120" w:type="dxa"/>
              <w:bottom w:w="80" w:type="dxa"/>
              <w:end w:w="120" w:type="dxa"/>
            </w:tcMar>
          </w:tcPr>
          <w:p>
            <w:pPr>
              <w:spacing w:after="0"/>
              <w:jc w:val="left"/>
            </w:pPr>
            <w:r>
              <w:rPr>
                <w:rFonts w:ascii="Arial Unicode MS" w:hAnsi="Arial Unicode MS" w:eastAsia="Arial Unicode MS"/>
                <w:sz w:val="18"/>
              </w:rPr>
              <w:t>识别任务形状、否定信号和重路线许可</w:t>
            </w:r>
          </w:p>
        </w:tc>
        <w:tc>
          <w:tcPr>
            <w:tcW w:type="dxa" w:w="3140"/>
            <w:vAlign w:val="center"/>
            <w:tcMar>
              <w:top w:w="80" w:type="dxa"/>
              <w:start w:w="120" w:type="dxa"/>
              <w:bottom w:w="80" w:type="dxa"/>
              <w:end w:w="120" w:type="dxa"/>
            </w:tcMar>
          </w:tcPr>
          <w:p>
            <w:pPr>
              <w:spacing w:after="0"/>
              <w:jc w:val="left"/>
            </w:pPr>
            <w:r>
              <w:rPr>
                <w:rFonts w:ascii="Arial Unicode MS" w:hAnsi="Arial Unicode MS" w:eastAsia="Arial Unicode MS"/>
                <w:sz w:val="18"/>
              </w:rPr>
              <w:t>DESI/BAO/CMB 名词本身不能触发 full research</w:t>
            </w:r>
          </w:p>
        </w:tc>
      </w:tr>
      <w:tr>
        <w:tc>
          <w:tcPr>
            <w:tcW w:type="dxa" w:w="1100"/>
            <w:vAlign w:val="center"/>
            <w:tcMar>
              <w:top w:w="80" w:type="dxa"/>
              <w:start w:w="120" w:type="dxa"/>
              <w:bottom w:w="80" w:type="dxa"/>
              <w:end w:w="120" w:type="dxa"/>
            </w:tcMar>
          </w:tcPr>
          <w:p>
            <w:pPr>
              <w:spacing w:after="0"/>
              <w:jc w:val="left"/>
            </w:pPr>
            <w:r>
              <w:rPr>
                <w:rFonts w:ascii="Arial Unicode MS" w:hAnsi="Arial Unicode MS" w:eastAsia="Arial Unicode MS"/>
                <w:sz w:val="18"/>
              </w:rPr>
              <w:t>计算层</w:t>
            </w:r>
          </w:p>
        </w:tc>
        <w:tc>
          <w:tcPr>
            <w:tcW w:type="dxa" w:w="2180"/>
            <w:vAlign w:val="center"/>
            <w:tcMar>
              <w:top w:w="80" w:type="dxa"/>
              <w:start w:w="120" w:type="dxa"/>
              <w:bottom w:w="80" w:type="dxa"/>
              <w:end w:w="120" w:type="dxa"/>
            </w:tcMar>
          </w:tcPr>
          <w:p>
            <w:pPr>
              <w:spacing w:after="0"/>
              <w:jc w:val="left"/>
            </w:pPr>
            <w:r>
              <w:rPr>
                <w:rFonts w:ascii="Arial Unicode MS" w:hAnsi="Arial Unicode MS" w:eastAsia="Arial Unicode MS"/>
                <w:sz w:val="18"/>
              </w:rPr>
              <w:t>verify_scalar_derivation</w:t>
            </w:r>
          </w:p>
        </w:tc>
        <w:tc>
          <w:tcPr>
            <w:tcW w:type="dxa" w:w="2940"/>
            <w:vAlign w:val="center"/>
            <w:tcMar>
              <w:top w:w="80" w:type="dxa"/>
              <w:start w:w="120" w:type="dxa"/>
              <w:bottom w:w="80" w:type="dxa"/>
              <w:end w:w="120" w:type="dxa"/>
            </w:tcMar>
          </w:tcPr>
          <w:p>
            <w:pPr>
              <w:spacing w:after="0"/>
              <w:jc w:val="left"/>
            </w:pPr>
            <w:r>
              <w:rPr>
                <w:rFonts w:ascii="Arial Unicode MS" w:hAnsi="Arial Unicode MS" w:eastAsia="Arial Unicode MS"/>
                <w:sz w:val="18"/>
              </w:rPr>
              <w:t>ratio、difference、product、weighted mean</w:t>
            </w:r>
          </w:p>
        </w:tc>
        <w:tc>
          <w:tcPr>
            <w:tcW w:type="dxa" w:w="3140"/>
            <w:vAlign w:val="center"/>
            <w:tcMar>
              <w:top w:w="80" w:type="dxa"/>
              <w:start w:w="120" w:type="dxa"/>
              <w:bottom w:w="80" w:type="dxa"/>
              <w:end w:w="120" w:type="dxa"/>
            </w:tcMar>
          </w:tcPr>
          <w:p>
            <w:pPr>
              <w:spacing w:after="0"/>
              <w:jc w:val="left"/>
            </w:pPr>
            <w:r>
              <w:rPr>
                <w:rFonts w:ascii="Arial Unicode MS" w:hAnsi="Arial Unicode MS" w:eastAsia="Arial Unicode MS"/>
                <w:sz w:val="18"/>
              </w:rPr>
              <w:t>解析 Jacobian；无 eval；不执行模型代码</w:t>
            </w:r>
          </w:p>
        </w:tc>
      </w:tr>
      <w:tr>
        <w:tc>
          <w:tcPr>
            <w:tcW w:type="dxa" w:w="1100"/>
            <w:vAlign w:val="center"/>
            <w:tcMar>
              <w:top w:w="80" w:type="dxa"/>
              <w:start w:w="120" w:type="dxa"/>
              <w:bottom w:w="80" w:type="dxa"/>
              <w:end w:w="120" w:type="dxa"/>
            </w:tcMar>
          </w:tcPr>
          <w:p>
            <w:pPr>
              <w:spacing w:after="0"/>
              <w:jc w:val="left"/>
            </w:pPr>
            <w:r>
              <w:rPr>
                <w:rFonts w:ascii="Arial Unicode MS" w:hAnsi="Arial Unicode MS" w:eastAsia="Arial Unicode MS"/>
                <w:sz w:val="18"/>
              </w:rPr>
              <w:t>来源层</w:t>
            </w:r>
          </w:p>
        </w:tc>
        <w:tc>
          <w:tcPr>
            <w:tcW w:type="dxa" w:w="2180"/>
            <w:vAlign w:val="center"/>
            <w:tcMar>
              <w:top w:w="80" w:type="dxa"/>
              <w:start w:w="120" w:type="dxa"/>
              <w:bottom w:w="80" w:type="dxa"/>
              <w:end w:w="120" w:type="dxa"/>
            </w:tcMar>
          </w:tcPr>
          <w:p>
            <w:pPr>
              <w:spacing w:after="0"/>
              <w:jc w:val="left"/>
            </w:pPr>
            <w:r>
              <w:rPr>
                <w:rFonts w:ascii="Arial Unicode MS" w:hAnsi="Arial Unicode MS" w:eastAsia="Arial Unicode MS"/>
                <w:sz w:val="18"/>
              </w:rPr>
              <w:t>source packet resolver + 24h cache</w:t>
            </w:r>
          </w:p>
        </w:tc>
        <w:tc>
          <w:tcPr>
            <w:tcW w:type="dxa" w:w="2940"/>
            <w:vAlign w:val="center"/>
            <w:tcMar>
              <w:top w:w="80" w:type="dxa"/>
              <w:start w:w="120" w:type="dxa"/>
              <w:bottom w:w="80" w:type="dxa"/>
              <w:end w:w="120" w:type="dxa"/>
            </w:tcMar>
          </w:tcPr>
          <w:p>
            <w:pPr>
              <w:spacing w:after="0"/>
              <w:jc w:val="left"/>
            </w:pPr>
            <w:r>
              <w:rPr>
                <w:rFonts w:ascii="Arial Unicode MS" w:hAnsi="Arial Unicode MS" w:eastAsia="Arial Unicode MS"/>
                <w:sz w:val="18"/>
              </w:rPr>
              <w:t>arXiv、DOI、Zenodo、公开 PDF/URL</w:t>
            </w:r>
          </w:p>
        </w:tc>
        <w:tc>
          <w:tcPr>
            <w:tcW w:type="dxa" w:w="3140"/>
            <w:vAlign w:val="center"/>
            <w:tcMar>
              <w:top w:w="80" w:type="dxa"/>
              <w:start w:w="120" w:type="dxa"/>
              <w:bottom w:w="80" w:type="dxa"/>
              <w:end w:w="120" w:type="dxa"/>
            </w:tcMar>
          </w:tcPr>
          <w:p>
            <w:pPr>
              <w:spacing w:after="0"/>
              <w:jc w:val="left"/>
            </w:pPr>
            <w:r>
              <w:rPr>
                <w:rFonts w:ascii="Arial Unicode MS" w:hAnsi="Arial Unicode MS" w:eastAsia="Arial Unicode MS"/>
                <w:sz w:val="18"/>
              </w:rPr>
              <w:t>精确匹配与派生数字分开授权</w:t>
            </w:r>
          </w:p>
        </w:tc>
      </w:tr>
      <w:tr>
        <w:tc>
          <w:tcPr>
            <w:tcW w:type="dxa" w:w="1100"/>
            <w:vAlign w:val="center"/>
            <w:tcMar>
              <w:top w:w="80" w:type="dxa"/>
              <w:start w:w="120" w:type="dxa"/>
              <w:bottom w:w="80" w:type="dxa"/>
              <w:end w:w="120" w:type="dxa"/>
            </w:tcMar>
          </w:tcPr>
          <w:p>
            <w:pPr>
              <w:spacing w:after="0"/>
              <w:jc w:val="left"/>
            </w:pPr>
            <w:r>
              <w:rPr>
                <w:rFonts w:ascii="Arial Unicode MS" w:hAnsi="Arial Unicode MS" w:eastAsia="Arial Unicode MS"/>
                <w:sz w:val="18"/>
              </w:rPr>
              <w:t>证据层</w:t>
            </w:r>
          </w:p>
        </w:tc>
        <w:tc>
          <w:tcPr>
            <w:tcW w:type="dxa" w:w="2180"/>
            <w:vAlign w:val="center"/>
            <w:tcMar>
              <w:top w:w="80" w:type="dxa"/>
              <w:start w:w="120" w:type="dxa"/>
              <w:bottom w:w="80" w:type="dxa"/>
              <w:end w:w="120" w:type="dxa"/>
            </w:tcMar>
          </w:tcPr>
          <w:p>
            <w:pPr>
              <w:spacing w:after="0"/>
              <w:jc w:val="left"/>
            </w:pPr>
            <w:r>
              <w:rPr>
                <w:rFonts w:ascii="Arial Unicode MS" w:hAnsi="Arial Unicode MS" w:eastAsia="Arial Unicode MS"/>
                <w:sz w:val="18"/>
              </w:rPr>
              <w:t>scalar/evidence receipts + SHA-256</w:t>
            </w:r>
          </w:p>
        </w:tc>
        <w:tc>
          <w:tcPr>
            <w:tcW w:type="dxa" w:w="2940"/>
            <w:vAlign w:val="center"/>
            <w:tcMar>
              <w:top w:w="80" w:type="dxa"/>
              <w:start w:w="120" w:type="dxa"/>
              <w:bottom w:w="80" w:type="dxa"/>
              <w:end w:w="120" w:type="dxa"/>
            </w:tcMar>
          </w:tcPr>
          <w:p>
            <w:pPr>
              <w:spacing w:after="0"/>
              <w:jc w:val="left"/>
            </w:pPr>
            <w:r>
              <w:rPr>
                <w:rFonts w:ascii="Arial Unicode MS" w:hAnsi="Arial Unicode MS" w:eastAsia="Arial Unicode MS"/>
                <w:sz w:val="18"/>
              </w:rPr>
              <w:t>记录输入、公式、状态、缺口和安全替代</w:t>
            </w:r>
          </w:p>
        </w:tc>
        <w:tc>
          <w:tcPr>
            <w:tcW w:type="dxa" w:w="3140"/>
            <w:vAlign w:val="center"/>
            <w:tcMar>
              <w:top w:w="80" w:type="dxa"/>
              <w:start w:w="120" w:type="dxa"/>
              <w:bottom w:w="80" w:type="dxa"/>
              <w:end w:w="120" w:type="dxa"/>
            </w:tcMar>
          </w:tcPr>
          <w:p>
            <w:pPr>
              <w:spacing w:after="0"/>
              <w:jc w:val="left"/>
            </w:pPr>
            <w:r>
              <w:rPr>
                <w:rFonts w:ascii="Arial Unicode MS" w:hAnsi="Arial Unicode MS" w:eastAsia="Arial Unicode MS"/>
                <w:sz w:val="18"/>
              </w:rPr>
              <w:t>用户粘贴 verified 字段一律不可信</w:t>
            </w:r>
          </w:p>
        </w:tc>
      </w:tr>
      <w:tr>
        <w:tc>
          <w:tcPr>
            <w:tcW w:type="dxa" w:w="1100"/>
            <w:vAlign w:val="center"/>
            <w:tcMar>
              <w:top w:w="80" w:type="dxa"/>
              <w:start w:w="120" w:type="dxa"/>
              <w:bottom w:w="80" w:type="dxa"/>
              <w:end w:w="120" w:type="dxa"/>
            </w:tcMar>
          </w:tcPr>
          <w:p>
            <w:pPr>
              <w:spacing w:after="0"/>
              <w:jc w:val="left"/>
            </w:pPr>
            <w:r>
              <w:rPr>
                <w:rFonts w:ascii="Arial Unicode MS" w:hAnsi="Arial Unicode MS" w:eastAsia="Arial Unicode MS"/>
                <w:sz w:val="18"/>
              </w:rPr>
              <w:t>声明层</w:t>
            </w:r>
          </w:p>
        </w:tc>
        <w:tc>
          <w:tcPr>
            <w:tcW w:type="dxa" w:w="2180"/>
            <w:vAlign w:val="center"/>
            <w:tcMar>
              <w:top w:w="80" w:type="dxa"/>
              <w:start w:w="120" w:type="dxa"/>
              <w:bottom w:w="80" w:type="dxa"/>
              <w:end w:w="120" w:type="dxa"/>
            </w:tcMar>
          </w:tcPr>
          <w:p>
            <w:pPr>
              <w:spacing w:after="0"/>
              <w:jc w:val="left"/>
            </w:pPr>
            <w:r>
              <w:rPr>
                <w:rFonts w:ascii="Arial Unicode MS" w:hAnsi="Arial Unicode MS" w:eastAsia="Arial Unicode MS"/>
                <w:sz w:val="18"/>
              </w:rPr>
              <w:t>numeric/citation/method gates</w:t>
            </w:r>
          </w:p>
        </w:tc>
        <w:tc>
          <w:tcPr>
            <w:tcW w:type="dxa" w:w="2940"/>
            <w:vAlign w:val="center"/>
            <w:tcMar>
              <w:top w:w="80" w:type="dxa"/>
              <w:start w:w="120" w:type="dxa"/>
              <w:bottom w:w="80" w:type="dxa"/>
              <w:end w:w="120" w:type="dxa"/>
            </w:tcMar>
          </w:tcPr>
          <w:p>
            <w:pPr>
              <w:spacing w:after="0"/>
              <w:jc w:val="left"/>
            </w:pPr>
            <w:r>
              <w:rPr>
                <w:rFonts w:ascii="Arial Unicode MS" w:hAnsi="Arial Unicode MS" w:eastAsia="Arial Unicode MS"/>
                <w:sz w:val="18"/>
              </w:rPr>
              <w:t>移除无依据数字和错误归因</w:t>
            </w:r>
          </w:p>
        </w:tc>
        <w:tc>
          <w:tcPr>
            <w:tcW w:type="dxa" w:w="3140"/>
            <w:vAlign w:val="center"/>
            <w:tcMar>
              <w:top w:w="80" w:type="dxa"/>
              <w:start w:w="120" w:type="dxa"/>
              <w:bottom w:w="80" w:type="dxa"/>
              <w:end w:w="120" w:type="dxa"/>
            </w:tcMar>
          </w:tcPr>
          <w:p>
            <w:pPr>
              <w:spacing w:after="0"/>
              <w:jc w:val="left"/>
            </w:pPr>
            <w:r>
              <w:rPr>
                <w:rFonts w:ascii="Arial Unicode MS" w:hAnsi="Arial Unicode MS" w:eastAsia="Arial Unicode MS"/>
                <w:sz w:val="18"/>
              </w:rPr>
              <w:t>现有硬门阈值没有放宽</w:t>
            </w:r>
          </w:p>
        </w:tc>
      </w:tr>
      <w:tr>
        <w:tc>
          <w:tcPr>
            <w:tcW w:type="dxa" w:w="1100"/>
            <w:vAlign w:val="center"/>
            <w:tcMar>
              <w:top w:w="80" w:type="dxa"/>
              <w:start w:w="120" w:type="dxa"/>
              <w:bottom w:w="80" w:type="dxa"/>
              <w:end w:w="120" w:type="dxa"/>
            </w:tcMar>
          </w:tcPr>
          <w:p>
            <w:pPr>
              <w:spacing w:after="0"/>
              <w:jc w:val="left"/>
            </w:pPr>
            <w:r>
              <w:rPr>
                <w:rFonts w:ascii="Arial Unicode MS" w:hAnsi="Arial Unicode MS" w:eastAsia="Arial Unicode MS"/>
                <w:sz w:val="18"/>
              </w:rPr>
              <w:t>模型层</w:t>
            </w:r>
          </w:p>
        </w:tc>
        <w:tc>
          <w:tcPr>
            <w:tcW w:type="dxa" w:w="2180"/>
            <w:vAlign w:val="center"/>
            <w:tcMar>
              <w:top w:w="80" w:type="dxa"/>
              <w:start w:w="120" w:type="dxa"/>
              <w:bottom w:w="80" w:type="dxa"/>
              <w:end w:w="120" w:type="dxa"/>
            </w:tcMar>
          </w:tcPr>
          <w:p>
            <w:pPr>
              <w:spacing w:after="0"/>
              <w:jc w:val="left"/>
            </w:pPr>
            <w:r>
              <w:rPr>
                <w:rFonts w:ascii="Arial Unicode MS" w:hAnsi="Arial Unicode MS" w:eastAsia="Arial Unicode MS"/>
                <w:sz w:val="18"/>
              </w:rPr>
              <w:t>Codex、Claude、Kimi 本地 CLI 适配</w:t>
            </w:r>
          </w:p>
        </w:tc>
        <w:tc>
          <w:tcPr>
            <w:tcW w:type="dxa" w:w="2940"/>
            <w:vAlign w:val="center"/>
            <w:tcMar>
              <w:top w:w="80" w:type="dxa"/>
              <w:start w:w="120" w:type="dxa"/>
              <w:bottom w:w="80" w:type="dxa"/>
              <w:end w:w="120" w:type="dxa"/>
            </w:tcMar>
          </w:tcPr>
          <w:p>
            <w:pPr>
              <w:spacing w:after="0"/>
              <w:jc w:val="left"/>
            </w:pPr>
            <w:r>
              <w:rPr>
                <w:rFonts w:ascii="Arial Unicode MS" w:hAnsi="Arial Unicode MS" w:eastAsia="Arial Unicode MS"/>
                <w:sz w:val="18"/>
              </w:rPr>
              <w:t>提供语言推理和工具选择</w:t>
            </w:r>
          </w:p>
        </w:tc>
        <w:tc>
          <w:tcPr>
            <w:tcW w:type="dxa" w:w="3140"/>
            <w:vAlign w:val="center"/>
            <w:tcMar>
              <w:top w:w="80" w:type="dxa"/>
              <w:start w:w="120" w:type="dxa"/>
              <w:bottom w:w="80" w:type="dxa"/>
              <w:end w:w="120" w:type="dxa"/>
            </w:tcMar>
          </w:tcPr>
          <w:p>
            <w:pPr>
              <w:spacing w:after="0"/>
              <w:jc w:val="left"/>
            </w:pPr>
            <w:r>
              <w:rPr>
                <w:rFonts w:ascii="Arial Unicode MS" w:hAnsi="Arial Unicode MS" w:eastAsia="Arial Unicode MS"/>
                <w:sz w:val="18"/>
              </w:rPr>
              <w:t>凭据隔离；模型不直接拥有数据访问</w:t>
            </w:r>
          </w:p>
        </w:tc>
      </w:tr>
    </w:tbl>
    <w:p>
      <w:pPr>
        <w:spacing w:after="20"/>
      </w:pPr>
    </w:p>
    <w:p>
      <w:pPr>
        <w:pStyle w:val="Heading1"/>
      </w:pPr>
      <w:r>
        <w:t>3. 混合任务路由</w:t>
      </w:r>
    </w:p>
    <w:tbl>
      <w:tblPr>
        <w:tblW w:type="dxa" w:w="9360"/>
        <w:tblLayout w:type="fixed"/>
        <w:tblLook w:firstColumn="1" w:firstRow="1" w:lastColumn="0" w:lastRow="0" w:noHBand="0" w:noVBand="1" w:val="04A0"/>
        <w:jc w:val="left"/>
        <w:tblInd w:w="120" w:type="dxa"/>
        <w:tblBorders>
          <w:top w:val="single" w:sz="6" w:space="0" w:color="D7DBE2"/>
          <w:left w:val="single" w:sz="6" w:space="0" w:color="D7DBE2"/>
          <w:bottom w:val="single" w:sz="6" w:space="0" w:color="D7DBE2"/>
          <w:right w:val="single" w:sz="6" w:space="0" w:color="D7DBE2"/>
          <w:insideH w:val="single" w:sz="6" w:space="0" w:color="D7DBE2"/>
          <w:insideV w:val="single" w:sz="6" w:space="0" w:color="D7DBE2"/>
        </w:tblBorders>
      </w:tblPr>
      <w:tblGrid>
        <w:gridCol w:w="2300"/>
        <w:gridCol w:w="3000"/>
        <w:gridCol w:w="2350"/>
        <w:gridCol w:w="1710"/>
      </w:tblGrid>
      <w:tr>
        <w:trPr>
          <w:tblHeader w:val="true"/>
        </w:trPr>
        <w:tc>
          <w:tcPr>
            <w:tcW w:type="dxa" w:w="2300"/>
            <w:tcMar>
              <w:top w:w="80" w:type="dxa"/>
              <w:start w:w="120" w:type="dxa"/>
              <w:bottom w:w="80" w:type="dxa"/>
              <w:end w:w="120" w:type="dxa"/>
            </w:tcMar>
            <w:shd w:fill="F2F4F7"/>
            <w:vAlign w:val="center"/>
          </w:tcPr>
          <w:p>
            <w:pPr>
              <w:spacing w:after="0"/>
              <w:jc w:val="center"/>
            </w:pPr>
            <w:r>
              <w:rPr>
                <w:rFonts w:ascii="Arial Unicode MS" w:hAnsi="Arial Unicode MS" w:eastAsia="Arial Unicode MS"/>
                <w:b/>
                <w:color w:val="17365D"/>
                <w:sz w:val="19"/>
              </w:rPr>
              <w:t>TaskKind</w:t>
            </w:r>
          </w:p>
        </w:tc>
        <w:tc>
          <w:tcPr>
            <w:tcW w:type="dxa" w:w="3000"/>
            <w:tcMar>
              <w:top w:w="80" w:type="dxa"/>
              <w:start w:w="120" w:type="dxa"/>
              <w:bottom w:w="80" w:type="dxa"/>
              <w:end w:w="120" w:type="dxa"/>
            </w:tcMar>
            <w:shd w:fill="F2F4F7"/>
            <w:vAlign w:val="center"/>
          </w:tcPr>
          <w:p>
            <w:pPr>
              <w:spacing w:after="0"/>
              <w:jc w:val="center"/>
            </w:pPr>
            <w:r>
              <w:rPr>
                <w:rFonts w:ascii="Arial Unicode MS" w:hAnsi="Arial Unicode MS" w:eastAsia="Arial Unicode MS"/>
                <w:b/>
                <w:color w:val="17365D"/>
                <w:sz w:val="19"/>
              </w:rPr>
              <w:t>进入条件</w:t>
            </w:r>
          </w:p>
        </w:tc>
        <w:tc>
          <w:tcPr>
            <w:tcW w:type="dxa" w:w="2350"/>
            <w:tcMar>
              <w:top w:w="80" w:type="dxa"/>
              <w:start w:w="120" w:type="dxa"/>
              <w:bottom w:w="80" w:type="dxa"/>
              <w:end w:w="120" w:type="dxa"/>
            </w:tcMar>
            <w:shd w:fill="F2F4F7"/>
            <w:vAlign w:val="center"/>
          </w:tcPr>
          <w:p>
            <w:pPr>
              <w:spacing w:after="0"/>
              <w:jc w:val="center"/>
            </w:pPr>
            <w:r>
              <w:rPr>
                <w:rFonts w:ascii="Arial Unicode MS" w:hAnsi="Arial Unicode MS" w:eastAsia="Arial Unicode MS"/>
                <w:b/>
                <w:color w:val="17365D"/>
                <w:sz w:val="19"/>
              </w:rPr>
              <w:t>默认行为</w:t>
            </w:r>
          </w:p>
        </w:tc>
        <w:tc>
          <w:tcPr>
            <w:tcW w:type="dxa" w:w="1710"/>
            <w:tcMar>
              <w:top w:w="80" w:type="dxa"/>
              <w:start w:w="120" w:type="dxa"/>
              <w:bottom w:w="80" w:type="dxa"/>
              <w:end w:w="120" w:type="dxa"/>
            </w:tcMar>
            <w:shd w:fill="F2F4F7"/>
            <w:vAlign w:val="center"/>
          </w:tcPr>
          <w:p>
            <w:pPr>
              <w:spacing w:after="0"/>
              <w:jc w:val="center"/>
            </w:pPr>
            <w:r>
              <w:rPr>
                <w:rFonts w:ascii="Arial Unicode MS" w:hAnsi="Arial Unicode MS" w:eastAsia="Arial Unicode MS"/>
                <w:b/>
                <w:color w:val="17365D"/>
                <w:sz w:val="19"/>
              </w:rPr>
              <w:t>不得做的事</w:t>
            </w:r>
          </w:p>
        </w:tc>
      </w:tr>
      <w:tr>
        <w:tc>
          <w:tcPr>
            <w:tcW w:type="dxa" w:w="2300"/>
            <w:vAlign w:val="center"/>
            <w:tcMar>
              <w:top w:w="80" w:type="dxa"/>
              <w:start w:w="120" w:type="dxa"/>
              <w:bottom w:w="80" w:type="dxa"/>
              <w:end w:w="120" w:type="dxa"/>
            </w:tcMar>
          </w:tcPr>
          <w:p>
            <w:pPr>
              <w:spacing w:after="0"/>
              <w:jc w:val="left"/>
            </w:pPr>
            <w:r>
              <w:rPr>
                <w:rFonts w:ascii="Arial Unicode MS" w:hAnsi="Arial Unicode MS" w:eastAsia="Arial Unicode MS"/>
                <w:sz w:val="18"/>
              </w:rPr>
              <w:t>deterministic_source_check</w:t>
            </w:r>
          </w:p>
        </w:tc>
        <w:tc>
          <w:tcPr>
            <w:tcW w:type="dxa" w:w="3000"/>
            <w:vAlign w:val="center"/>
            <w:tcMar>
              <w:top w:w="80" w:type="dxa"/>
              <w:start w:w="120" w:type="dxa"/>
              <w:bottom w:w="80" w:type="dxa"/>
              <w:end w:w="120" w:type="dxa"/>
            </w:tcMar>
          </w:tcPr>
          <w:p>
            <w:pPr>
              <w:spacing w:after="0"/>
              <w:jc w:val="left"/>
            </w:pPr>
            <w:r>
              <w:rPr>
                <w:rFonts w:ascii="Arial Unicode MS" w:hAnsi="Arial Unicode MS" w:eastAsia="Arial Unicode MS"/>
                <w:sz w:val="18"/>
              </w:rPr>
              <w:t>公开来源、明确标量、公式/操作与误差模型</w:t>
            </w:r>
          </w:p>
        </w:tc>
        <w:tc>
          <w:tcPr>
            <w:tcW w:type="dxa" w:w="2350"/>
            <w:vAlign w:val="center"/>
            <w:tcMar>
              <w:top w:w="80" w:type="dxa"/>
              <w:start w:w="120" w:type="dxa"/>
              <w:bottom w:w="80" w:type="dxa"/>
              <w:end w:w="120" w:type="dxa"/>
            </w:tcMar>
          </w:tcPr>
          <w:p>
            <w:pPr>
              <w:spacing w:after="0"/>
              <w:jc w:val="left"/>
            </w:pPr>
            <w:r>
              <w:rPr>
                <w:rFonts w:ascii="Arial Unicode MS" w:hAnsi="Arial Unicode MS" w:eastAsia="Arial Unicode MS"/>
                <w:sz w:val="18"/>
              </w:rPr>
              <w:t>直接调用受控验证工具</w:t>
            </w:r>
          </w:p>
        </w:tc>
        <w:tc>
          <w:tcPr>
            <w:tcW w:type="dxa" w:w="1710"/>
            <w:vAlign w:val="center"/>
            <w:tcMar>
              <w:top w:w="80" w:type="dxa"/>
              <w:start w:w="120" w:type="dxa"/>
              <w:bottom w:w="80" w:type="dxa"/>
              <w:end w:w="120" w:type="dxa"/>
            </w:tcMar>
          </w:tcPr>
          <w:p>
            <w:pPr>
              <w:spacing w:after="0"/>
              <w:jc w:val="left"/>
            </w:pPr>
            <w:r>
              <w:rPr>
                <w:rFonts w:ascii="Arial Unicode MS" w:hAnsi="Arial Unicode MS" w:eastAsia="Arial Unicode MS"/>
                <w:sz w:val="18"/>
              </w:rPr>
              <w:t>输入不全时不得回退到研究矩阵</w:t>
            </w:r>
          </w:p>
        </w:tc>
      </w:tr>
      <w:tr>
        <w:tc>
          <w:tcPr>
            <w:tcW w:type="dxa" w:w="2300"/>
            <w:vAlign w:val="center"/>
            <w:tcMar>
              <w:top w:w="80" w:type="dxa"/>
              <w:start w:w="120" w:type="dxa"/>
              <w:bottom w:w="80" w:type="dxa"/>
              <w:end w:w="120" w:type="dxa"/>
            </w:tcMar>
          </w:tcPr>
          <w:p>
            <w:pPr>
              <w:spacing w:after="0"/>
              <w:jc w:val="left"/>
            </w:pPr>
            <w:r>
              <w:rPr>
                <w:rFonts w:ascii="Arial Unicode MS" w:hAnsi="Arial Unicode MS" w:eastAsia="Arial Unicode MS"/>
                <w:sz w:val="18"/>
              </w:rPr>
              <w:t>research_exploration</w:t>
            </w:r>
          </w:p>
        </w:tc>
        <w:tc>
          <w:tcPr>
            <w:tcW w:type="dxa" w:w="3000"/>
            <w:vAlign w:val="center"/>
            <w:tcMar>
              <w:top w:w="80" w:type="dxa"/>
              <w:start w:w="120" w:type="dxa"/>
              <w:bottom w:w="80" w:type="dxa"/>
              <w:end w:w="120" w:type="dxa"/>
            </w:tcMar>
          </w:tcPr>
          <w:p>
            <w:pPr>
              <w:spacing w:after="0"/>
              <w:jc w:val="left"/>
            </w:pPr>
            <w:r>
              <w:rPr>
                <w:rFonts w:ascii="Arial Unicode MS" w:hAnsi="Arial Unicode MS" w:eastAsia="Arial Unicode MS"/>
                <w:sz w:val="18"/>
              </w:rPr>
              <w:t>开放式方法、假设或研究设计</w:t>
            </w:r>
          </w:p>
        </w:tc>
        <w:tc>
          <w:tcPr>
            <w:tcW w:type="dxa" w:w="2350"/>
            <w:vAlign w:val="center"/>
            <w:tcMar>
              <w:top w:w="80" w:type="dxa"/>
              <w:start w:w="120" w:type="dxa"/>
              <w:bottom w:w="80" w:type="dxa"/>
              <w:end w:w="120" w:type="dxa"/>
            </w:tcMar>
          </w:tcPr>
          <w:p>
            <w:pPr>
              <w:spacing w:after="0"/>
              <w:jc w:val="left"/>
            </w:pPr>
            <w:r>
              <w:rPr>
                <w:rFonts w:ascii="Arial Unicode MS" w:hAnsi="Arial Unicode MS" w:eastAsia="Arial Unicode MS"/>
                <w:sz w:val="18"/>
              </w:rPr>
              <w:t>允许模型自由提出候选路线</w:t>
            </w:r>
          </w:p>
        </w:tc>
        <w:tc>
          <w:tcPr>
            <w:tcW w:type="dxa" w:w="1710"/>
            <w:vAlign w:val="center"/>
            <w:tcMar>
              <w:top w:w="80" w:type="dxa"/>
              <w:start w:w="120" w:type="dxa"/>
              <w:bottom w:w="80" w:type="dxa"/>
              <w:end w:w="120" w:type="dxa"/>
            </w:tcMar>
          </w:tcPr>
          <w:p>
            <w:pPr>
              <w:spacing w:after="0"/>
              <w:jc w:val="left"/>
            </w:pPr>
            <w:r>
              <w:rPr>
                <w:rFonts w:ascii="Arial Unicode MS" w:hAnsi="Arial Unicode MS" w:eastAsia="Arial Unicode MS"/>
                <w:sz w:val="18"/>
              </w:rPr>
              <w:t>探索文本不得标为已验证结论</w:t>
            </w:r>
          </w:p>
        </w:tc>
      </w:tr>
      <w:tr>
        <w:tc>
          <w:tcPr>
            <w:tcW w:type="dxa" w:w="2300"/>
            <w:vAlign w:val="center"/>
            <w:tcMar>
              <w:top w:w="80" w:type="dxa"/>
              <w:start w:w="120" w:type="dxa"/>
              <w:bottom w:w="80" w:type="dxa"/>
              <w:end w:w="120" w:type="dxa"/>
            </w:tcMar>
          </w:tcPr>
          <w:p>
            <w:pPr>
              <w:spacing w:after="0"/>
              <w:jc w:val="left"/>
            </w:pPr>
            <w:r>
              <w:rPr>
                <w:rFonts w:ascii="Arial Unicode MS" w:hAnsi="Arial Unicode MS" w:eastAsia="Arial Unicode MS"/>
                <w:sz w:val="18"/>
              </w:rPr>
              <w:t>full_research</w:t>
            </w:r>
          </w:p>
        </w:tc>
        <w:tc>
          <w:tcPr>
            <w:tcW w:type="dxa" w:w="3000"/>
            <w:vAlign w:val="center"/>
            <w:tcMar>
              <w:top w:w="80" w:type="dxa"/>
              <w:start w:w="120" w:type="dxa"/>
              <w:bottom w:w="80" w:type="dxa"/>
              <w:end w:w="120" w:type="dxa"/>
            </w:tcMar>
          </w:tcPr>
          <w:p>
            <w:pPr>
              <w:spacing w:after="0"/>
              <w:jc w:val="left"/>
            </w:pPr>
            <w:r>
              <w:rPr>
                <w:rFonts w:ascii="Arial Unicode MS" w:hAnsi="Arial Unicode MS" w:eastAsia="Arial Unicode MS"/>
                <w:sz w:val="18"/>
              </w:rPr>
              <w:t>未被否定的 likelihood/fit/sampler/posterior 意图</w:t>
            </w:r>
          </w:p>
        </w:tc>
        <w:tc>
          <w:tcPr>
            <w:tcW w:type="dxa" w:w="2350"/>
            <w:vAlign w:val="center"/>
            <w:tcMar>
              <w:top w:w="80" w:type="dxa"/>
              <w:start w:w="120" w:type="dxa"/>
              <w:bottom w:w="80" w:type="dxa"/>
              <w:end w:w="120" w:type="dxa"/>
            </w:tcMar>
          </w:tcPr>
          <w:p>
            <w:pPr>
              <w:spacing w:after="0"/>
              <w:jc w:val="left"/>
            </w:pPr>
            <w:r>
              <w:rPr>
                <w:rFonts w:ascii="Arial Unicode MS" w:hAnsi="Arial Unicode MS" w:eastAsia="Arial Unicode MS"/>
                <w:sz w:val="18"/>
              </w:rPr>
              <w:t>进入现有研究计划与能力矩阵</w:t>
            </w:r>
          </w:p>
        </w:tc>
        <w:tc>
          <w:tcPr>
            <w:tcW w:type="dxa" w:w="1710"/>
            <w:vAlign w:val="center"/>
            <w:tcMar>
              <w:top w:w="80" w:type="dxa"/>
              <w:start w:w="120" w:type="dxa"/>
              <w:bottom w:w="80" w:type="dxa"/>
              <w:end w:w="120" w:type="dxa"/>
            </w:tcMar>
          </w:tcPr>
          <w:p>
            <w:pPr>
              <w:spacing w:after="0"/>
              <w:jc w:val="left"/>
            </w:pPr>
            <w:r>
              <w:rPr>
                <w:rFonts w:ascii="Arial Unicode MS" w:hAnsi="Arial Unicode MS" w:eastAsia="Arial Unicode MS"/>
                <w:sz w:val="18"/>
              </w:rPr>
              <w:t>缺组件时不得用压缩近似冒充原生后验</w:t>
            </w:r>
          </w:p>
        </w:tc>
      </w:tr>
      <w:tr>
        <w:tc>
          <w:tcPr>
            <w:tcW w:type="dxa" w:w="2300"/>
            <w:vAlign w:val="center"/>
            <w:tcMar>
              <w:top w:w="80" w:type="dxa"/>
              <w:start w:w="120" w:type="dxa"/>
              <w:bottom w:w="80" w:type="dxa"/>
              <w:end w:w="120" w:type="dxa"/>
            </w:tcMar>
          </w:tcPr>
          <w:p>
            <w:pPr>
              <w:spacing w:after="0"/>
              <w:jc w:val="left"/>
            </w:pPr>
            <w:r>
              <w:rPr>
                <w:rFonts w:ascii="Arial Unicode MS" w:hAnsi="Arial Unicode MS" w:eastAsia="Arial Unicode MS"/>
                <w:sz w:val="18"/>
              </w:rPr>
              <w:t>general</w:t>
            </w:r>
          </w:p>
        </w:tc>
        <w:tc>
          <w:tcPr>
            <w:tcW w:type="dxa" w:w="3000"/>
            <w:vAlign w:val="center"/>
            <w:tcMar>
              <w:top w:w="80" w:type="dxa"/>
              <w:start w:w="120" w:type="dxa"/>
              <w:bottom w:w="80" w:type="dxa"/>
              <w:end w:w="120" w:type="dxa"/>
            </w:tcMar>
          </w:tcPr>
          <w:p>
            <w:pPr>
              <w:spacing w:after="0"/>
              <w:jc w:val="left"/>
            </w:pPr>
            <w:r>
              <w:rPr>
                <w:rFonts w:ascii="Arial Unicode MS" w:hAnsi="Arial Unicode MS" w:eastAsia="Arial Unicode MS"/>
                <w:sz w:val="18"/>
              </w:rPr>
              <w:t>解释、概念、注册锚点与一般问答</w:t>
            </w:r>
          </w:p>
        </w:tc>
        <w:tc>
          <w:tcPr>
            <w:tcW w:type="dxa" w:w="2350"/>
            <w:vAlign w:val="center"/>
            <w:tcMar>
              <w:top w:w="80" w:type="dxa"/>
              <w:start w:w="120" w:type="dxa"/>
              <w:bottom w:w="80" w:type="dxa"/>
              <w:end w:w="120" w:type="dxa"/>
            </w:tcMar>
          </w:tcPr>
          <w:p>
            <w:pPr>
              <w:spacing w:after="0"/>
              <w:jc w:val="left"/>
            </w:pPr>
            <w:r>
              <w:rPr>
                <w:rFonts w:ascii="Arial Unicode MS" w:hAnsi="Arial Unicode MS" w:eastAsia="Arial Unicode MS"/>
                <w:sz w:val="18"/>
              </w:rPr>
              <w:t>保持轻量，不自动启用矩阵</w:t>
            </w:r>
          </w:p>
        </w:tc>
        <w:tc>
          <w:tcPr>
            <w:tcW w:type="dxa" w:w="1710"/>
            <w:vAlign w:val="center"/>
            <w:tcMar>
              <w:top w:w="80" w:type="dxa"/>
              <w:start w:w="120" w:type="dxa"/>
              <w:bottom w:w="80" w:type="dxa"/>
              <w:end w:w="120" w:type="dxa"/>
            </w:tcMar>
          </w:tcPr>
          <w:p>
            <w:pPr>
              <w:spacing w:after="0"/>
              <w:jc w:val="left"/>
            </w:pPr>
            <w:r>
              <w:rPr>
                <w:rFonts w:ascii="Arial Unicode MS" w:hAnsi="Arial Unicode MS" w:eastAsia="Arial Unicode MS"/>
                <w:sz w:val="18"/>
              </w:rPr>
              <w:t>领域关键词不得成为重路由充分条件</w:t>
            </w:r>
          </w:p>
        </w:tc>
      </w:tr>
    </w:tbl>
    <w:p>
      <w:pPr>
        <w:spacing w:after="20"/>
      </w:pPr>
    </w:p>
    <w:p>
      <w:r>
        <w:rPr>
          <w:rFonts w:ascii="Arial Unicode MS" w:hAnsi="Arial Unicode MS" w:eastAsia="Arial Unicode MS"/>
        </w:rPr>
        <w:t>RoutingDecision 同时保存 confidence、matched_signals、negated_signals、source_references、requested_operation、missing_inputs、heavy_route_allowed 与 direct_tool_call。否定语句先消除重型信号；低置信度时模型可以选择路线，但进入 full_research 前仍需通过正向意图检查。</w:t>
      </w:r>
    </w:p>
    <w:p>
      <w:pPr>
        <w:pStyle w:val="Heading1"/>
      </w:pPr>
      <w:r>
        <w:t>4. 确定性计算与误差传播</w:t>
      </w:r>
    </w:p>
    <w:p>
      <w:pPr>
        <w:pStyle w:val="ListBullet"/>
      </w:pPr>
      <w:r>
        <w:rPr>
          <w:rFonts w:ascii="Arial Unicode MS" w:hAnsi="Arial Unicode MS" w:eastAsia="Arial Unicode MS"/>
        </w:rPr>
        <w:t>ratio、difference 与 product 首版接受两个标量；weighted_mean 接受两个或更多同单位标量。</w:t>
      </w:r>
    </w:p>
    <w:p>
      <w:pPr>
        <w:pStyle w:val="ListBullet"/>
      </w:pPr>
      <w:r>
        <w:rPr>
          <w:rFonts w:ascii="Arial Unicode MS" w:hAnsi="Arial Unicode MS" w:eastAsia="Arial Unicode MS"/>
        </w:rPr>
        <w:t>一阶不确定性通过解析 Jacobian 与协方差矩阵传播，不运行模型生成代码。</w:t>
      </w:r>
    </w:p>
    <w:p>
      <w:pPr>
        <w:pStyle w:val="ListBullet"/>
      </w:pPr>
      <w:r>
        <w:rPr>
          <w:rFonts w:ascii="Arial Unicode MS" w:hAnsi="Arial Unicode MS" w:eastAsia="Arial Unicode MS"/>
        </w:rPr>
        <w:t>相关矩阵必须对称、对角线为 1、半正定且维度匹配。</w:t>
      </w:r>
    </w:p>
    <w:p>
      <w:pPr>
        <w:pStyle w:val="ListBullet"/>
      </w:pPr>
      <w:r>
        <w:rPr>
          <w:rFonts w:ascii="Arial Unicode MS" w:hAnsi="Arial Unicode MS" w:eastAsia="Arial Unicode MS"/>
        </w:rPr>
        <w:t>多个不确定量若没有相关矩阵，必须由请求显式声明 independent；系统不得静默假定独立。</w:t>
      </w:r>
    </w:p>
    <w:p>
      <w:pPr>
        <w:pStyle w:val="ListBullet"/>
      </w:pPr>
      <w:r>
        <w:rPr>
          <w:rFonts w:ascii="Arial Unicode MS" w:hAnsi="Arial Unicode MS" w:eastAsia="Arial Unicode MS"/>
        </w:rPr>
        <w:t>单位冲突、非法协方差、缺失输入产生 abstention；来源失败不抹掉已经可验证的算术。</w:t>
      </w:r>
    </w:p>
    <w:tbl>
      <w:tblPr>
        <w:tblW w:type="dxa" w:w="9360"/>
        <w:jc w:val="left"/>
        <w:tblLayout w:type="fixed"/>
        <w:tblLook w:firstColumn="1" w:firstRow="1" w:lastColumn="0" w:lastRow="0" w:noHBand="0" w:noVBand="1" w:val="04A0"/>
        <w:tblInd w:w="120" w:type="dxa"/>
        <w:tblBorders>
          <w:top w:val="single" w:sz="2" w:space="0" w:color="F2F4F7"/>
          <w:left w:val="single" w:sz="2" w:space="0" w:color="F2F4F7"/>
          <w:bottom w:val="single" w:sz="2" w:space="0" w:color="F2F4F7"/>
          <w:right w:val="single" w:sz="2" w:space="0" w:color="F2F4F7"/>
          <w:insideH w:val="single" w:sz="2" w:space="0" w:color="F2F4F7"/>
          <w:insideV w:val="single" w:sz="2" w:space="0" w:color="F2F4F7"/>
        </w:tblBorders>
      </w:tblPr>
      <w:tblGrid>
        <w:gridCol w:w="9360"/>
      </w:tblGrid>
      <w:tr>
        <w:trPr>
          <w:tblHeader w:val="true"/>
        </w:trPr>
        <w:tc>
          <w:tcPr>
            <w:tcW w:type="dxa" w:w="9360"/>
            <w:tcMar>
              <w:top w:w="80" w:type="dxa"/>
              <w:start w:w="120" w:type="dxa"/>
              <w:bottom w:w="80" w:type="dxa"/>
              <w:end w:w="120" w:type="dxa"/>
            </w:tcMar>
            <w:shd w:fill="F2F4F7"/>
          </w:tcPr>
          <w:p>
            <w:pPr>
              <w:spacing w:after="40"/>
            </w:pPr>
            <w:r>
              <w:rPr>
                <w:rFonts w:ascii="Arial Unicode MS" w:hAnsi="Arial Unicode MS" w:eastAsia="Arial Unicode MS"/>
                <w:b/>
                <w:color w:val="1F4D78"/>
                <w:sz w:val="20"/>
              </w:rPr>
              <w:t>声明范围分离</w:t>
            </w:r>
          </w:p>
          <w:p>
            <w:pPr>
              <w:spacing w:after="0"/>
            </w:pPr>
            <w:r>
              <w:rPr>
                <w:rFonts w:ascii="Arial Unicode MS" w:hAnsi="Arial Unicode MS" w:eastAsia="Arial Unicode MS"/>
                <w:color w:val="202A35"/>
                <w:sz w:val="21"/>
              </w:rPr>
              <w:t>derived_numeric=true 只支持“根据给定输入计算得到”；source_measurement=true 只有原文标签与数值独立匹配后才能支持“论文报告了”。</w:t>
            </w:r>
          </w:p>
        </w:tc>
      </w:tr>
    </w:tbl>
    <w:p>
      <w:pPr>
        <w:spacing w:after="20"/>
      </w:pPr>
    </w:p>
    <w:p>
      <w:pPr>
        <w:pStyle w:val="Heading1"/>
      </w:pPr>
      <w:r>
        <w:t>5. 科研来源解析与缓存</w:t>
      </w:r>
    </w:p>
    <w:p>
      <w:pPr>
        <w:pStyle w:val="ListNumber"/>
      </w:pPr>
      <w:r>
        <w:rPr>
          <w:rFonts w:ascii="Arial Unicode MS" w:hAnsi="Arial Unicode MS" w:eastAsia="Arial Unicode MS"/>
        </w:rPr>
        <w:t>规范化 arXiv、DOI、Zenodo 和 HTTPS URL 标识。</w:t>
      </w:r>
    </w:p>
    <w:p>
      <w:pPr>
        <w:pStyle w:val="ListNumber"/>
      </w:pPr>
      <w:r>
        <w:rPr>
          <w:rFonts w:ascii="Arial Unicode MS" w:hAnsi="Arial Unicode MS" w:eastAsia="Arial Unicode MS"/>
        </w:rPr>
        <w:t>优先读取带内容哈希的 24 小时成功缓存；临时失败缓存 5 分钟。</w:t>
      </w:r>
    </w:p>
    <w:p>
      <w:pPr>
        <w:pStyle w:val="ListNumber"/>
      </w:pPr>
      <w:r>
        <w:rPr>
          <w:rFonts w:ascii="Arial Unicode MS" w:hAnsi="Arial Unicode MS" w:eastAsia="Arial Unicode MS"/>
        </w:rPr>
        <w:t>最多并发两个适配器，单次约 8 秒，总预算 30 秒；只对临时网络错误重试一次。</w:t>
      </w:r>
    </w:p>
    <w:p>
      <w:pPr>
        <w:pStyle w:val="ListNumber"/>
      </w:pPr>
      <w:r>
        <w:rPr>
          <w:rFonts w:ascii="Arial Unicode MS" w:hAnsi="Arial Unicode MS" w:eastAsia="Arial Unicode MS"/>
        </w:rPr>
        <w:t>验证 HTTPS、MIME、响应大小、压缩展开大小和 SSRF 风险。</w:t>
      </w:r>
    </w:p>
    <w:p>
      <w:pPr>
        <w:pStyle w:val="ListNumber"/>
      </w:pPr>
      <w:r>
        <w:rPr>
          <w:rFonts w:ascii="Arial Unicode MS" w:hAnsi="Arial Unicode MS" w:eastAsia="Arial Unicode MS"/>
        </w:rPr>
        <w:t>记录最终 URL、定位信息、提取方法、抓取时间与 SHA-256。</w:t>
      </w:r>
    </w:p>
    <w:p>
      <w:pPr>
        <w:pStyle w:val="ListNumber"/>
      </w:pPr>
      <w:r>
        <w:rPr>
          <w:rFonts w:ascii="Arial Unicode MS" w:hAnsi="Arial Unicode MS" w:eastAsia="Arial Unicode MS"/>
        </w:rPr>
        <w:t>只有同一表/行的标签与数值全部匹配，才授予 verified_exact。</w:t>
      </w:r>
    </w:p>
    <w:tbl>
      <w:tblPr>
        <w:tblW w:type="dxa" w:w="9360"/>
        <w:tblLayout w:type="fixed"/>
        <w:tblLook w:firstColumn="1" w:firstRow="1" w:lastColumn="0" w:lastRow="0" w:noHBand="0" w:noVBand="1" w:val="04A0"/>
        <w:jc w:val="left"/>
        <w:tblInd w:w="120" w:type="dxa"/>
        <w:tblBorders>
          <w:top w:val="single" w:sz="6" w:space="0" w:color="D7DBE2"/>
          <w:left w:val="single" w:sz="6" w:space="0" w:color="D7DBE2"/>
          <w:bottom w:val="single" w:sz="6" w:space="0" w:color="D7DBE2"/>
          <w:right w:val="single" w:sz="6" w:space="0" w:color="D7DBE2"/>
          <w:insideH w:val="single" w:sz="6" w:space="0" w:color="D7DBE2"/>
          <w:insideV w:val="single" w:sz="6" w:space="0" w:color="D7DBE2"/>
        </w:tblBorders>
      </w:tblPr>
      <w:tblGrid>
        <w:gridCol w:w="2200"/>
        <w:gridCol w:w="3300"/>
        <w:gridCol w:w="3860"/>
      </w:tblGrid>
      <w:tr>
        <w:trPr>
          <w:tblHeader w:val="true"/>
        </w:trPr>
        <w:tc>
          <w:tcPr>
            <w:tcW w:type="dxa" w:w="2200"/>
            <w:tcMar>
              <w:top w:w="80" w:type="dxa"/>
              <w:start w:w="120" w:type="dxa"/>
              <w:bottom w:w="80" w:type="dxa"/>
              <w:end w:w="120" w:type="dxa"/>
            </w:tcMar>
            <w:shd w:fill="F2F4F7"/>
            <w:vAlign w:val="center"/>
          </w:tcPr>
          <w:p>
            <w:pPr>
              <w:spacing w:after="0"/>
              <w:jc w:val="center"/>
            </w:pPr>
            <w:r>
              <w:rPr>
                <w:rFonts w:ascii="Arial Unicode MS" w:hAnsi="Arial Unicode MS" w:eastAsia="Arial Unicode MS"/>
                <w:b/>
                <w:color w:val="17365D"/>
                <w:sz w:val="19"/>
              </w:rPr>
              <w:t>来源状态</w:t>
            </w:r>
          </w:p>
        </w:tc>
        <w:tc>
          <w:tcPr>
            <w:tcW w:type="dxa" w:w="3300"/>
            <w:tcMar>
              <w:top w:w="80" w:type="dxa"/>
              <w:start w:w="120" w:type="dxa"/>
              <w:bottom w:w="80" w:type="dxa"/>
              <w:end w:w="120" w:type="dxa"/>
            </w:tcMar>
            <w:shd w:fill="F2F4F7"/>
            <w:vAlign w:val="center"/>
          </w:tcPr>
          <w:p>
            <w:pPr>
              <w:spacing w:after="0"/>
              <w:jc w:val="center"/>
            </w:pPr>
            <w:r>
              <w:rPr>
                <w:rFonts w:ascii="Arial Unicode MS" w:hAnsi="Arial Unicode MS" w:eastAsia="Arial Unicode MS"/>
                <w:b/>
                <w:color w:val="17365D"/>
                <w:sz w:val="19"/>
              </w:rPr>
              <w:t>含义</w:t>
            </w:r>
          </w:p>
        </w:tc>
        <w:tc>
          <w:tcPr>
            <w:tcW w:type="dxa" w:w="3860"/>
            <w:tcMar>
              <w:top w:w="80" w:type="dxa"/>
              <w:start w:w="120" w:type="dxa"/>
              <w:bottom w:w="80" w:type="dxa"/>
              <w:end w:w="120" w:type="dxa"/>
            </w:tcMar>
            <w:shd w:fill="F2F4F7"/>
            <w:vAlign w:val="center"/>
          </w:tcPr>
          <w:p>
            <w:pPr>
              <w:spacing w:after="0"/>
              <w:jc w:val="center"/>
            </w:pPr>
            <w:r>
              <w:rPr>
                <w:rFonts w:ascii="Arial Unicode MS" w:hAnsi="Arial Unicode MS" w:eastAsia="Arial Unicode MS"/>
                <w:b/>
                <w:color w:val="17365D"/>
                <w:sz w:val="19"/>
              </w:rPr>
              <w:t>允许的表述</w:t>
            </w:r>
          </w:p>
        </w:tc>
      </w:tr>
      <w:tr>
        <w:tc>
          <w:tcPr>
            <w:tcW w:type="dxa" w:w="2200"/>
            <w:vAlign w:val="center"/>
            <w:tcMar>
              <w:top w:w="80" w:type="dxa"/>
              <w:start w:w="120" w:type="dxa"/>
              <w:bottom w:w="80" w:type="dxa"/>
              <w:end w:w="120" w:type="dxa"/>
            </w:tcMar>
          </w:tcPr>
          <w:p>
            <w:pPr>
              <w:spacing w:after="0"/>
              <w:jc w:val="left"/>
            </w:pPr>
            <w:r>
              <w:rPr>
                <w:rFonts w:ascii="Arial Unicode MS" w:hAnsi="Arial Unicode MS" w:eastAsia="Arial Unicode MS"/>
                <w:sz w:val="18"/>
              </w:rPr>
              <w:t>verified_exact</w:t>
            </w:r>
          </w:p>
        </w:tc>
        <w:tc>
          <w:tcPr>
            <w:tcW w:type="dxa" w:w="3300"/>
            <w:vAlign w:val="center"/>
            <w:tcMar>
              <w:top w:w="80" w:type="dxa"/>
              <w:start w:w="120" w:type="dxa"/>
              <w:bottom w:w="80" w:type="dxa"/>
              <w:end w:w="120" w:type="dxa"/>
            </w:tcMar>
          </w:tcPr>
          <w:p>
            <w:pPr>
              <w:spacing w:after="0"/>
              <w:jc w:val="left"/>
            </w:pPr>
            <w:r>
              <w:rPr>
                <w:rFonts w:ascii="Arial Unicode MS" w:hAnsi="Arial Unicode MS" w:eastAsia="Arial Unicode MS"/>
                <w:sz w:val="18"/>
              </w:rPr>
              <w:t>原文窗口中的标签与数值精确匹配</w:t>
            </w:r>
          </w:p>
        </w:tc>
        <w:tc>
          <w:tcPr>
            <w:tcW w:type="dxa" w:w="3860"/>
            <w:vAlign w:val="center"/>
            <w:tcMar>
              <w:top w:w="80" w:type="dxa"/>
              <w:start w:w="120" w:type="dxa"/>
              <w:bottom w:w="80" w:type="dxa"/>
              <w:end w:w="120" w:type="dxa"/>
            </w:tcMar>
          </w:tcPr>
          <w:p>
            <w:pPr>
              <w:spacing w:after="0"/>
              <w:jc w:val="left"/>
            </w:pPr>
            <w:r>
              <w:rPr>
                <w:rFonts w:ascii="Arial Unicode MS" w:hAnsi="Arial Unicode MS" w:eastAsia="Arial Unicode MS"/>
                <w:sz w:val="18"/>
              </w:rPr>
              <w:t>可说论文在该定位报告了输入值</w:t>
            </w:r>
          </w:p>
        </w:tc>
      </w:tr>
      <w:tr>
        <w:tc>
          <w:tcPr>
            <w:tcW w:type="dxa" w:w="2200"/>
            <w:vAlign w:val="center"/>
            <w:tcMar>
              <w:top w:w="80" w:type="dxa"/>
              <w:start w:w="120" w:type="dxa"/>
              <w:bottom w:w="80" w:type="dxa"/>
              <w:end w:w="120" w:type="dxa"/>
            </w:tcMar>
          </w:tcPr>
          <w:p>
            <w:pPr>
              <w:spacing w:after="0"/>
              <w:jc w:val="left"/>
            </w:pPr>
            <w:r>
              <w:rPr>
                <w:rFonts w:ascii="Arial Unicode MS" w:hAnsi="Arial Unicode MS" w:eastAsia="Arial Unicode MS"/>
                <w:sz w:val="18"/>
              </w:rPr>
              <w:t>verified_registry</w:t>
            </w:r>
          </w:p>
        </w:tc>
        <w:tc>
          <w:tcPr>
            <w:tcW w:type="dxa" w:w="3300"/>
            <w:vAlign w:val="center"/>
            <w:tcMar>
              <w:top w:w="80" w:type="dxa"/>
              <w:start w:w="120" w:type="dxa"/>
              <w:bottom w:w="80" w:type="dxa"/>
              <w:end w:w="120" w:type="dxa"/>
            </w:tcMar>
          </w:tcPr>
          <w:p>
            <w:pPr>
              <w:spacing w:after="0"/>
              <w:jc w:val="left"/>
            </w:pPr>
            <w:r>
              <w:rPr>
                <w:rFonts w:ascii="Arial Unicode MS" w:hAnsi="Arial Unicode MS" w:eastAsia="Arial Unicode MS"/>
                <w:sz w:val="18"/>
              </w:rPr>
              <w:t>版本化注册表和固定数据产品已核实</w:t>
            </w:r>
          </w:p>
        </w:tc>
        <w:tc>
          <w:tcPr>
            <w:tcW w:type="dxa" w:w="3860"/>
            <w:vAlign w:val="center"/>
            <w:tcMar>
              <w:top w:w="80" w:type="dxa"/>
              <w:start w:w="120" w:type="dxa"/>
              <w:bottom w:w="80" w:type="dxa"/>
              <w:end w:w="120" w:type="dxa"/>
            </w:tcMar>
          </w:tcPr>
          <w:p>
            <w:pPr>
              <w:spacing w:after="0"/>
              <w:jc w:val="left"/>
            </w:pPr>
            <w:r>
              <w:rPr>
                <w:rFonts w:ascii="Arial Unicode MS" w:hAnsi="Arial Unicode MS" w:eastAsia="Arial Unicode MS"/>
                <w:sz w:val="18"/>
              </w:rPr>
              <w:t>可说注册覆盖/锚点已核实，不冒充逐值原文匹配</w:t>
            </w:r>
          </w:p>
        </w:tc>
      </w:tr>
      <w:tr>
        <w:tc>
          <w:tcPr>
            <w:tcW w:type="dxa" w:w="2200"/>
            <w:vAlign w:val="center"/>
            <w:tcMar>
              <w:top w:w="80" w:type="dxa"/>
              <w:start w:w="120" w:type="dxa"/>
              <w:bottom w:w="80" w:type="dxa"/>
              <w:end w:w="120" w:type="dxa"/>
            </w:tcMar>
          </w:tcPr>
          <w:p>
            <w:pPr>
              <w:spacing w:after="0"/>
              <w:jc w:val="left"/>
            </w:pPr>
            <w:r>
              <w:rPr>
                <w:rFonts w:ascii="Arial Unicode MS" w:hAnsi="Arial Unicode MS" w:eastAsia="Arial Unicode MS"/>
                <w:sz w:val="18"/>
              </w:rPr>
              <w:t>verified_current_turn</w:t>
            </w:r>
          </w:p>
        </w:tc>
        <w:tc>
          <w:tcPr>
            <w:tcW w:type="dxa" w:w="3300"/>
            <w:vAlign w:val="center"/>
            <w:tcMar>
              <w:top w:w="80" w:type="dxa"/>
              <w:start w:w="120" w:type="dxa"/>
              <w:bottom w:w="80" w:type="dxa"/>
              <w:end w:w="120" w:type="dxa"/>
            </w:tcMar>
          </w:tcPr>
          <w:p>
            <w:pPr>
              <w:spacing w:after="0"/>
              <w:jc w:val="left"/>
            </w:pPr>
            <w:r>
              <w:rPr>
                <w:rFonts w:ascii="Arial Unicode MS" w:hAnsi="Arial Unicode MS" w:eastAsia="Arial Unicode MS"/>
                <w:sz w:val="18"/>
              </w:rPr>
              <w:t>本轮工具和平台能力状态已核实</w:t>
            </w:r>
          </w:p>
        </w:tc>
        <w:tc>
          <w:tcPr>
            <w:tcW w:type="dxa" w:w="3860"/>
            <w:vAlign w:val="center"/>
            <w:tcMar>
              <w:top w:w="80" w:type="dxa"/>
              <w:start w:w="120" w:type="dxa"/>
              <w:bottom w:w="80" w:type="dxa"/>
              <w:end w:w="120" w:type="dxa"/>
            </w:tcMar>
          </w:tcPr>
          <w:p>
            <w:pPr>
              <w:spacing w:after="0"/>
              <w:jc w:val="left"/>
            </w:pPr>
            <w:r>
              <w:rPr>
                <w:rFonts w:ascii="Arial Unicode MS" w:hAnsi="Arial Unicode MS" w:eastAsia="Arial Unicode MS"/>
                <w:sz w:val="18"/>
              </w:rPr>
              <w:t>可说能力缺口已确认，不可说论文后验已验证</w:t>
            </w:r>
          </w:p>
        </w:tc>
      </w:tr>
      <w:tr>
        <w:tc>
          <w:tcPr>
            <w:tcW w:type="dxa" w:w="2200"/>
            <w:vAlign w:val="center"/>
            <w:tcMar>
              <w:top w:w="80" w:type="dxa"/>
              <w:start w:w="120" w:type="dxa"/>
              <w:bottom w:w="80" w:type="dxa"/>
              <w:end w:w="120" w:type="dxa"/>
            </w:tcMar>
          </w:tcPr>
          <w:p>
            <w:pPr>
              <w:spacing w:after="0"/>
              <w:jc w:val="left"/>
            </w:pPr>
            <w:r>
              <w:rPr>
                <w:rFonts w:ascii="Arial Unicode MS" w:hAnsi="Arial Unicode MS" w:eastAsia="Arial Unicode MS"/>
                <w:sz w:val="18"/>
              </w:rPr>
              <w:t>resolved_unmatched</w:t>
            </w:r>
          </w:p>
        </w:tc>
        <w:tc>
          <w:tcPr>
            <w:tcW w:type="dxa" w:w="3300"/>
            <w:vAlign w:val="center"/>
            <w:tcMar>
              <w:top w:w="80" w:type="dxa"/>
              <w:start w:w="120" w:type="dxa"/>
              <w:bottom w:w="80" w:type="dxa"/>
              <w:end w:w="120" w:type="dxa"/>
            </w:tcMar>
          </w:tcPr>
          <w:p>
            <w:pPr>
              <w:spacing w:after="0"/>
              <w:jc w:val="left"/>
            </w:pPr>
            <w:r>
              <w:rPr>
                <w:rFonts w:ascii="Arial Unicode MS" w:hAnsi="Arial Unicode MS" w:eastAsia="Arial Unicode MS"/>
                <w:sz w:val="18"/>
              </w:rPr>
              <w:t>来源已打开但数值未定位</w:t>
            </w:r>
          </w:p>
        </w:tc>
        <w:tc>
          <w:tcPr>
            <w:tcW w:type="dxa" w:w="3860"/>
            <w:vAlign w:val="center"/>
            <w:tcMar>
              <w:top w:w="80" w:type="dxa"/>
              <w:start w:w="120" w:type="dxa"/>
              <w:bottom w:w="80" w:type="dxa"/>
              <w:end w:w="120" w:type="dxa"/>
            </w:tcMar>
          </w:tcPr>
          <w:p>
            <w:pPr>
              <w:spacing w:after="0"/>
              <w:jc w:val="left"/>
            </w:pPr>
            <w:r>
              <w:rPr>
                <w:rFonts w:ascii="Arial Unicode MS" w:hAnsi="Arial Unicode MS" w:eastAsia="Arial Unicode MS"/>
                <w:sz w:val="18"/>
              </w:rPr>
              <w:t>仅保留基于提供输入的算术</w:t>
            </w:r>
          </w:p>
        </w:tc>
      </w:tr>
      <w:tr>
        <w:tc>
          <w:tcPr>
            <w:tcW w:type="dxa" w:w="2200"/>
            <w:vAlign w:val="center"/>
            <w:tcMar>
              <w:top w:w="80" w:type="dxa"/>
              <w:start w:w="120" w:type="dxa"/>
              <w:bottom w:w="80" w:type="dxa"/>
              <w:end w:w="120" w:type="dxa"/>
            </w:tcMar>
          </w:tcPr>
          <w:p>
            <w:pPr>
              <w:spacing w:after="0"/>
              <w:jc w:val="left"/>
            </w:pPr>
            <w:r>
              <w:rPr>
                <w:rFonts w:ascii="Arial Unicode MS" w:hAnsi="Arial Unicode MS" w:eastAsia="Arial Unicode MS"/>
                <w:sz w:val="18"/>
              </w:rPr>
              <w:t>conflict</w:t>
            </w:r>
          </w:p>
        </w:tc>
        <w:tc>
          <w:tcPr>
            <w:tcW w:type="dxa" w:w="3300"/>
            <w:vAlign w:val="center"/>
            <w:tcMar>
              <w:top w:w="80" w:type="dxa"/>
              <w:start w:w="120" w:type="dxa"/>
              <w:bottom w:w="80" w:type="dxa"/>
              <w:end w:w="120" w:type="dxa"/>
            </w:tcMar>
          </w:tcPr>
          <w:p>
            <w:pPr>
              <w:spacing w:after="0"/>
              <w:jc w:val="left"/>
            </w:pPr>
            <w:r>
              <w:rPr>
                <w:rFonts w:ascii="Arial Unicode MS" w:hAnsi="Arial Unicode MS" w:eastAsia="Arial Unicode MS"/>
                <w:sz w:val="18"/>
              </w:rPr>
              <w:t>原文与提供输入冲突</w:t>
            </w:r>
          </w:p>
        </w:tc>
        <w:tc>
          <w:tcPr>
            <w:tcW w:type="dxa" w:w="3860"/>
            <w:vAlign w:val="center"/>
            <w:tcMar>
              <w:top w:w="80" w:type="dxa"/>
              <w:start w:w="120" w:type="dxa"/>
              <w:bottom w:w="80" w:type="dxa"/>
              <w:end w:w="120" w:type="dxa"/>
            </w:tcMar>
          </w:tcPr>
          <w:p>
            <w:pPr>
              <w:spacing w:after="0"/>
              <w:jc w:val="left"/>
            </w:pPr>
            <w:r>
              <w:rPr>
                <w:rFonts w:ascii="Arial Unicode MS" w:hAnsi="Arial Unicode MS" w:eastAsia="Arial Unicode MS"/>
                <w:sz w:val="18"/>
              </w:rPr>
              <w:t>显示冲突，禁止论文归因</w:t>
            </w:r>
          </w:p>
        </w:tc>
      </w:tr>
      <w:tr>
        <w:tc>
          <w:tcPr>
            <w:tcW w:type="dxa" w:w="2200"/>
            <w:vAlign w:val="center"/>
            <w:tcMar>
              <w:top w:w="80" w:type="dxa"/>
              <w:start w:w="120" w:type="dxa"/>
              <w:bottom w:w="80" w:type="dxa"/>
              <w:end w:w="120" w:type="dxa"/>
            </w:tcMar>
          </w:tcPr>
          <w:p>
            <w:pPr>
              <w:spacing w:after="0"/>
              <w:jc w:val="left"/>
            </w:pPr>
            <w:r>
              <w:rPr>
                <w:rFonts w:ascii="Arial Unicode MS" w:hAnsi="Arial Unicode MS" w:eastAsia="Arial Unicode MS"/>
                <w:sz w:val="18"/>
              </w:rPr>
              <w:t>unavailable</w:t>
            </w:r>
          </w:p>
        </w:tc>
        <w:tc>
          <w:tcPr>
            <w:tcW w:type="dxa" w:w="3300"/>
            <w:vAlign w:val="center"/>
            <w:tcMar>
              <w:top w:w="80" w:type="dxa"/>
              <w:start w:w="120" w:type="dxa"/>
              <w:bottom w:w="80" w:type="dxa"/>
              <w:end w:w="120" w:type="dxa"/>
            </w:tcMar>
          </w:tcPr>
          <w:p>
            <w:pPr>
              <w:spacing w:after="0"/>
              <w:jc w:val="left"/>
            </w:pPr>
            <w:r>
              <w:rPr>
                <w:rFonts w:ascii="Arial Unicode MS" w:hAnsi="Arial Unicode MS" w:eastAsia="Arial Unicode MS"/>
                <w:sz w:val="18"/>
              </w:rPr>
              <w:t>来源超时或不可达</w:t>
            </w:r>
          </w:p>
        </w:tc>
        <w:tc>
          <w:tcPr>
            <w:tcW w:type="dxa" w:w="3860"/>
            <w:vAlign w:val="center"/>
            <w:tcMar>
              <w:top w:w="80" w:type="dxa"/>
              <w:start w:w="120" w:type="dxa"/>
              <w:bottom w:w="80" w:type="dxa"/>
              <w:end w:w="120" w:type="dxa"/>
            </w:tcMar>
          </w:tcPr>
          <w:p>
            <w:pPr>
              <w:spacing w:after="0"/>
              <w:jc w:val="left"/>
            </w:pPr>
            <w:r>
              <w:rPr>
                <w:rFonts w:ascii="Arial Unicode MS" w:hAnsi="Arial Unicode MS" w:eastAsia="Arial Unicode MS"/>
                <w:sz w:val="18"/>
              </w:rPr>
              <w:t>算术可保留，来源降级</w:t>
            </w:r>
          </w:p>
        </w:tc>
      </w:tr>
      <w:tr>
        <w:tc>
          <w:tcPr>
            <w:tcW w:type="dxa" w:w="2200"/>
            <w:vAlign w:val="center"/>
            <w:tcMar>
              <w:top w:w="80" w:type="dxa"/>
              <w:start w:w="120" w:type="dxa"/>
              <w:bottom w:w="80" w:type="dxa"/>
              <w:end w:w="120" w:type="dxa"/>
            </w:tcMar>
          </w:tcPr>
          <w:p>
            <w:pPr>
              <w:spacing w:after="0"/>
              <w:jc w:val="left"/>
            </w:pPr>
            <w:r>
              <w:rPr>
                <w:rFonts w:ascii="Arial Unicode MS" w:hAnsi="Arial Unicode MS" w:eastAsia="Arial Unicode MS"/>
                <w:sz w:val="18"/>
              </w:rPr>
              <w:t>untrusted_user_supplied</w:t>
            </w:r>
          </w:p>
        </w:tc>
        <w:tc>
          <w:tcPr>
            <w:tcW w:type="dxa" w:w="3300"/>
            <w:vAlign w:val="center"/>
            <w:tcMar>
              <w:top w:w="80" w:type="dxa"/>
              <w:start w:w="120" w:type="dxa"/>
              <w:bottom w:w="80" w:type="dxa"/>
              <w:end w:w="120" w:type="dxa"/>
            </w:tcMar>
          </w:tcPr>
          <w:p>
            <w:pPr>
              <w:spacing w:after="0"/>
              <w:jc w:val="left"/>
            </w:pPr>
            <w:r>
              <w:rPr>
                <w:rFonts w:ascii="Arial Unicode MS" w:hAnsi="Arial Unicode MS" w:eastAsia="Arial Unicode MS"/>
                <w:sz w:val="18"/>
              </w:rPr>
              <w:t>用户粘贴的证据/记录</w:t>
            </w:r>
          </w:p>
        </w:tc>
        <w:tc>
          <w:tcPr>
            <w:tcW w:type="dxa" w:w="3860"/>
            <w:vAlign w:val="center"/>
            <w:tcMar>
              <w:top w:w="80" w:type="dxa"/>
              <w:start w:w="120" w:type="dxa"/>
              <w:bottom w:w="80" w:type="dxa"/>
              <w:end w:w="120" w:type="dxa"/>
            </w:tcMar>
          </w:tcPr>
          <w:p>
            <w:pPr>
              <w:spacing w:after="0"/>
              <w:jc w:val="left"/>
            </w:pPr>
            <w:r>
              <w:rPr>
                <w:rFonts w:ascii="Arial Unicode MS" w:hAnsi="Arial Unicode MS" w:eastAsia="Arial Unicode MS"/>
                <w:sz w:val="18"/>
              </w:rPr>
              <w:t>不得获得当前运行验证状态</w:t>
            </w:r>
          </w:p>
        </w:tc>
      </w:tr>
    </w:tbl>
    <w:p>
      <w:pPr>
        <w:spacing w:after="20"/>
      </w:pPr>
    </w:p>
    <w:p>
      <w:pPr>
        <w:pStyle w:val="Heading1"/>
      </w:pPr>
      <w:r>
        <w:t>6. 证据凭证与回复状态</w:t>
      </w:r>
    </w:p>
    <w:p>
      <w:r>
        <w:rPr>
          <w:rFonts w:ascii="Arial Unicode MS" w:hAnsi="Arial Unicode MS" w:eastAsia="Arial Unicode MS"/>
        </w:rPr>
        <w:t>ValidationSummary schema v2 在保留旧字段的同时增加 response_disposition、task_kind、earliest_limiting_stage、missing_dependencies、safe_fallback 和 evidence_receipts。凭证只能由后端从本轮真实工具状态生成。</w:t>
      </w:r>
    </w:p>
    <w:tbl>
      <w:tblPr>
        <w:tblW w:type="dxa" w:w="9360"/>
        <w:tblLayout w:type="fixed"/>
        <w:tblLook w:firstColumn="1" w:firstRow="1" w:lastColumn="0" w:lastRow="0" w:noHBand="0" w:noVBand="1" w:val="04A0"/>
        <w:jc w:val="left"/>
        <w:tblInd w:w="120" w:type="dxa"/>
        <w:tblBorders>
          <w:top w:val="single" w:sz="6" w:space="0" w:color="D7DBE2"/>
          <w:left w:val="single" w:sz="6" w:space="0" w:color="D7DBE2"/>
          <w:bottom w:val="single" w:sz="6" w:space="0" w:color="D7DBE2"/>
          <w:right w:val="single" w:sz="6" w:space="0" w:color="D7DBE2"/>
          <w:insideH w:val="single" w:sz="6" w:space="0" w:color="D7DBE2"/>
          <w:insideV w:val="single" w:sz="6" w:space="0" w:color="D7DBE2"/>
        </w:tblBorders>
      </w:tblPr>
      <w:tblGrid>
        <w:gridCol w:w="1500"/>
        <w:gridCol w:w="5300"/>
        <w:gridCol w:w="2560"/>
      </w:tblGrid>
      <w:tr>
        <w:trPr>
          <w:tblHeader w:val="true"/>
        </w:trPr>
        <w:tc>
          <w:tcPr>
            <w:tcW w:type="dxa" w:w="1500"/>
            <w:tcMar>
              <w:top w:w="80" w:type="dxa"/>
              <w:start w:w="120" w:type="dxa"/>
              <w:bottom w:w="80" w:type="dxa"/>
              <w:end w:w="120" w:type="dxa"/>
            </w:tcMar>
            <w:shd w:fill="F2F4F7"/>
            <w:vAlign w:val="center"/>
          </w:tcPr>
          <w:p>
            <w:pPr>
              <w:spacing w:after="0"/>
              <w:jc w:val="center"/>
            </w:pPr>
            <w:r>
              <w:rPr>
                <w:rFonts w:ascii="Arial Unicode MS" w:hAnsi="Arial Unicode MS" w:eastAsia="Arial Unicode MS"/>
                <w:b/>
                <w:color w:val="17365D"/>
                <w:sz w:val="19"/>
              </w:rPr>
              <w:t>状态</w:t>
            </w:r>
          </w:p>
        </w:tc>
        <w:tc>
          <w:tcPr>
            <w:tcW w:type="dxa" w:w="5300"/>
            <w:tcMar>
              <w:top w:w="80" w:type="dxa"/>
              <w:start w:w="120" w:type="dxa"/>
              <w:bottom w:w="80" w:type="dxa"/>
              <w:end w:w="120" w:type="dxa"/>
            </w:tcMar>
            <w:shd w:fill="F2F4F7"/>
            <w:vAlign w:val="center"/>
          </w:tcPr>
          <w:p>
            <w:pPr>
              <w:spacing w:after="0"/>
              <w:jc w:val="center"/>
            </w:pPr>
            <w:r>
              <w:rPr>
                <w:rFonts w:ascii="Arial Unicode MS" w:hAnsi="Arial Unicode MS" w:eastAsia="Arial Unicode MS"/>
                <w:b/>
                <w:color w:val="17365D"/>
                <w:sz w:val="19"/>
              </w:rPr>
              <w:t>严格语义</w:t>
            </w:r>
          </w:p>
        </w:tc>
        <w:tc>
          <w:tcPr>
            <w:tcW w:type="dxa" w:w="2560"/>
            <w:tcMar>
              <w:top w:w="80" w:type="dxa"/>
              <w:start w:w="120" w:type="dxa"/>
              <w:bottom w:w="80" w:type="dxa"/>
              <w:end w:w="120" w:type="dxa"/>
            </w:tcMar>
            <w:shd w:fill="F2F4F7"/>
            <w:vAlign w:val="center"/>
          </w:tcPr>
          <w:p>
            <w:pPr>
              <w:spacing w:after="0"/>
              <w:jc w:val="center"/>
            </w:pPr>
            <w:r>
              <w:rPr>
                <w:rFonts w:ascii="Arial Unicode MS" w:hAnsi="Arial Unicode MS" w:eastAsia="Arial Unicode MS"/>
                <w:b/>
                <w:color w:val="17365D"/>
                <w:sz w:val="19"/>
              </w:rPr>
              <w:t>典型实验</w:t>
            </w:r>
          </w:p>
        </w:tc>
      </w:tr>
      <w:tr>
        <w:tc>
          <w:tcPr>
            <w:tcW w:type="dxa" w:w="1500"/>
            <w:vAlign w:val="center"/>
            <w:tcMar>
              <w:top w:w="80" w:type="dxa"/>
              <w:start w:w="120" w:type="dxa"/>
              <w:bottom w:w="80" w:type="dxa"/>
              <w:end w:w="120" w:type="dxa"/>
            </w:tcMar>
          </w:tcPr>
          <w:p>
            <w:pPr>
              <w:spacing w:after="0"/>
              <w:jc w:val="left"/>
            </w:pPr>
            <w:r>
              <w:rPr>
                <w:rFonts w:ascii="Arial Unicode MS" w:hAnsi="Arial Unicode MS" w:eastAsia="Arial Unicode MS"/>
                <w:sz w:val="18"/>
              </w:rPr>
              <w:t>full</w:t>
            </w:r>
          </w:p>
        </w:tc>
        <w:tc>
          <w:tcPr>
            <w:tcW w:type="dxa" w:w="5300"/>
            <w:vAlign w:val="center"/>
            <w:tcMar>
              <w:top w:w="80" w:type="dxa"/>
              <w:start w:w="120" w:type="dxa"/>
              <w:bottom w:w="80" w:type="dxa"/>
              <w:end w:w="120" w:type="dxa"/>
            </w:tcMar>
          </w:tcPr>
          <w:p>
            <w:pPr>
              <w:spacing w:after="0"/>
              <w:jc w:val="left"/>
            </w:pPr>
            <w:r>
              <w:rPr>
                <w:rFonts w:ascii="Arial Unicode MS" w:hAnsi="Arial Unicode MS" w:eastAsia="Arial Unicode MS"/>
                <w:sz w:val="18"/>
              </w:rPr>
              <w:t>计算与允许的来源归因均满足当前任务要求</w:t>
            </w:r>
          </w:p>
        </w:tc>
        <w:tc>
          <w:tcPr>
            <w:tcW w:type="dxa" w:w="2560"/>
            <w:vAlign w:val="center"/>
            <w:tcMar>
              <w:top w:w="80" w:type="dxa"/>
              <w:start w:w="120" w:type="dxa"/>
              <w:bottom w:w="80" w:type="dxa"/>
              <w:end w:w="120" w:type="dxa"/>
            </w:tcMar>
          </w:tcPr>
          <w:p>
            <w:pPr>
              <w:spacing w:after="0"/>
              <w:jc w:val="left"/>
            </w:pPr>
            <w:r>
              <w:rPr>
                <w:rFonts w:ascii="Arial Unicode MS" w:hAnsi="Arial Unicode MS" w:eastAsia="Arial Unicode MS"/>
                <w:sz w:val="18"/>
              </w:rPr>
              <w:t>DESI 距离比、ACT 固定参考</w:t>
            </w:r>
          </w:p>
        </w:tc>
      </w:tr>
      <w:tr>
        <w:tc>
          <w:tcPr>
            <w:tcW w:type="dxa" w:w="1500"/>
            <w:vAlign w:val="center"/>
            <w:tcMar>
              <w:top w:w="80" w:type="dxa"/>
              <w:start w:w="120" w:type="dxa"/>
              <w:bottom w:w="80" w:type="dxa"/>
              <w:end w:w="120" w:type="dxa"/>
            </w:tcMar>
          </w:tcPr>
          <w:p>
            <w:pPr>
              <w:spacing w:after="0"/>
              <w:jc w:val="left"/>
            </w:pPr>
            <w:r>
              <w:rPr>
                <w:rFonts w:ascii="Arial Unicode MS" w:hAnsi="Arial Unicode MS" w:eastAsia="Arial Unicode MS"/>
                <w:sz w:val="18"/>
              </w:rPr>
              <w:t>limited</w:t>
            </w:r>
          </w:p>
        </w:tc>
        <w:tc>
          <w:tcPr>
            <w:tcW w:type="dxa" w:w="5300"/>
            <w:vAlign w:val="center"/>
            <w:tcMar>
              <w:top w:w="80" w:type="dxa"/>
              <w:start w:w="120" w:type="dxa"/>
              <w:bottom w:w="80" w:type="dxa"/>
              <w:end w:w="120" w:type="dxa"/>
            </w:tcMar>
          </w:tcPr>
          <w:p>
            <w:pPr>
              <w:spacing w:after="0"/>
              <w:jc w:val="left"/>
            </w:pPr>
            <w:r>
              <w:rPr>
                <w:rFonts w:ascii="Arial Unicode MS" w:hAnsi="Arial Unicode MS" w:eastAsia="Arial Unicode MS"/>
                <w:sz w:val="18"/>
              </w:rPr>
              <w:t>有合法内容，但相关性、覆盖或能力范围有限</w:t>
            </w:r>
          </w:p>
        </w:tc>
        <w:tc>
          <w:tcPr>
            <w:tcW w:type="dxa" w:w="2560"/>
            <w:vAlign w:val="center"/>
            <w:tcMar>
              <w:top w:w="80" w:type="dxa"/>
              <w:start w:w="120" w:type="dxa"/>
              <w:bottom w:w="80" w:type="dxa"/>
              <w:end w:w="120" w:type="dxa"/>
            </w:tcMar>
          </w:tcPr>
          <w:p>
            <w:pPr>
              <w:spacing w:after="0"/>
              <w:jc w:val="left"/>
            </w:pPr>
            <w:r>
              <w:rPr>
                <w:rFonts w:ascii="Arial Unicode MS" w:hAnsi="Arial Unicode MS" w:eastAsia="Arial Unicode MS"/>
                <w:sz w:val="18"/>
              </w:rPr>
              <w:t>ACT nₛ、Pantheon+ z=12、EDE 缺口</w:t>
            </w:r>
          </w:p>
        </w:tc>
      </w:tr>
      <w:tr>
        <w:tc>
          <w:tcPr>
            <w:tcW w:type="dxa" w:w="1500"/>
            <w:vAlign w:val="center"/>
            <w:tcMar>
              <w:top w:w="80" w:type="dxa"/>
              <w:start w:w="120" w:type="dxa"/>
              <w:bottom w:w="80" w:type="dxa"/>
              <w:end w:w="120" w:type="dxa"/>
            </w:tcMar>
          </w:tcPr>
          <w:p>
            <w:pPr>
              <w:spacing w:after="0"/>
              <w:jc w:val="left"/>
            </w:pPr>
            <w:r>
              <w:rPr>
                <w:rFonts w:ascii="Arial Unicode MS" w:hAnsi="Arial Unicode MS" w:eastAsia="Arial Unicode MS"/>
                <w:sz w:val="18"/>
              </w:rPr>
              <w:t>abstention</w:t>
            </w:r>
          </w:p>
        </w:tc>
        <w:tc>
          <w:tcPr>
            <w:tcW w:type="dxa" w:w="5300"/>
            <w:vAlign w:val="center"/>
            <w:tcMar>
              <w:top w:w="80" w:type="dxa"/>
              <w:start w:w="120" w:type="dxa"/>
              <w:bottom w:w="80" w:type="dxa"/>
              <w:end w:w="120" w:type="dxa"/>
            </w:tcMar>
          </w:tcPr>
          <w:p>
            <w:pPr>
              <w:spacing w:after="0"/>
              <w:jc w:val="left"/>
            </w:pPr>
            <w:r>
              <w:rPr>
                <w:rFonts w:ascii="Arial Unicode MS" w:hAnsi="Arial Unicode MS" w:eastAsia="Arial Unicode MS"/>
                <w:sz w:val="18"/>
              </w:rPr>
              <w:t>缺少必需输入、单位冲突或协方差无效</w:t>
            </w:r>
          </w:p>
        </w:tc>
        <w:tc>
          <w:tcPr>
            <w:tcW w:type="dxa" w:w="2560"/>
            <w:vAlign w:val="center"/>
            <w:tcMar>
              <w:top w:w="80" w:type="dxa"/>
              <w:start w:w="120" w:type="dxa"/>
              <w:bottom w:w="80" w:type="dxa"/>
              <w:end w:w="120" w:type="dxa"/>
            </w:tcMar>
          </w:tcPr>
          <w:p>
            <w:pPr>
              <w:spacing w:after="0"/>
              <w:jc w:val="left"/>
            </w:pPr>
            <w:r>
              <w:rPr>
                <w:rFonts w:ascii="Arial Unicode MS" w:hAnsi="Arial Unicode MS" w:eastAsia="Arial Unicode MS"/>
                <w:sz w:val="18"/>
              </w:rPr>
              <w:t>故障注入/不完整轻量任务</w:t>
            </w:r>
          </w:p>
        </w:tc>
      </w:tr>
      <w:tr>
        <w:tc>
          <w:tcPr>
            <w:tcW w:type="dxa" w:w="1500"/>
            <w:vAlign w:val="center"/>
            <w:tcMar>
              <w:top w:w="80" w:type="dxa"/>
              <w:start w:w="120" w:type="dxa"/>
              <w:bottom w:w="80" w:type="dxa"/>
              <w:end w:w="120" w:type="dxa"/>
            </w:tcMar>
          </w:tcPr>
          <w:p>
            <w:pPr>
              <w:spacing w:after="0"/>
              <w:jc w:val="left"/>
            </w:pPr>
            <w:r>
              <w:rPr>
                <w:rFonts w:ascii="Arial Unicode MS" w:hAnsi="Arial Unicode MS" w:eastAsia="Arial Unicode MS"/>
                <w:sz w:val="18"/>
              </w:rPr>
              <w:t>refusal</w:t>
            </w:r>
          </w:p>
        </w:tc>
        <w:tc>
          <w:tcPr>
            <w:tcW w:type="dxa" w:w="5300"/>
            <w:vAlign w:val="center"/>
            <w:tcMar>
              <w:top w:w="80" w:type="dxa"/>
              <w:start w:w="120" w:type="dxa"/>
              <w:bottom w:w="80" w:type="dxa"/>
              <w:end w:w="120" w:type="dxa"/>
            </w:tcMar>
          </w:tcPr>
          <w:p>
            <w:pPr>
              <w:spacing w:after="0"/>
              <w:jc w:val="left"/>
            </w:pPr>
            <w:r>
              <w:rPr>
                <w:rFonts w:ascii="Arial Unicode MS" w:hAnsi="Arial Unicode MS" w:eastAsia="Arial Unicode MS"/>
                <w:sz w:val="18"/>
              </w:rPr>
              <w:t>用户明确要求伪造、隐瞒或错误包装证据</w:t>
            </w:r>
          </w:p>
        </w:tc>
        <w:tc>
          <w:tcPr>
            <w:tcW w:type="dxa" w:w="2560"/>
            <w:vAlign w:val="center"/>
            <w:tcMar>
              <w:top w:w="80" w:type="dxa"/>
              <w:start w:w="120" w:type="dxa"/>
              <w:bottom w:w="80" w:type="dxa"/>
              <w:end w:w="120" w:type="dxa"/>
            </w:tcMar>
          </w:tcPr>
          <w:p>
            <w:pPr>
              <w:spacing w:after="0"/>
              <w:jc w:val="left"/>
            </w:pPr>
            <w:r>
              <w:rPr>
                <w:rFonts w:ascii="Arial Unicode MS" w:hAnsi="Arial Unicode MS" w:eastAsia="Arial Unicode MS"/>
                <w:sz w:val="18"/>
              </w:rPr>
              <w:t>伪工具记录</w:t>
            </w:r>
          </w:p>
        </w:tc>
      </w:tr>
      <w:tr>
        <w:tc>
          <w:tcPr>
            <w:tcW w:type="dxa" w:w="1500"/>
            <w:vAlign w:val="center"/>
            <w:tcMar>
              <w:top w:w="80" w:type="dxa"/>
              <w:start w:w="120" w:type="dxa"/>
              <w:bottom w:w="80" w:type="dxa"/>
              <w:end w:w="120" w:type="dxa"/>
            </w:tcMar>
          </w:tcPr>
          <w:p>
            <w:pPr>
              <w:spacing w:after="0"/>
              <w:jc w:val="left"/>
            </w:pPr>
            <w:r>
              <w:rPr>
                <w:rFonts w:ascii="Arial Unicode MS" w:hAnsi="Arial Unicode MS" w:eastAsia="Arial Unicode MS"/>
                <w:sz w:val="18"/>
              </w:rPr>
              <w:t>hard_block</w:t>
            </w:r>
          </w:p>
        </w:tc>
        <w:tc>
          <w:tcPr>
            <w:tcW w:type="dxa" w:w="5300"/>
            <w:vAlign w:val="center"/>
            <w:tcMar>
              <w:top w:w="80" w:type="dxa"/>
              <w:start w:w="120" w:type="dxa"/>
              <w:bottom w:w="80" w:type="dxa"/>
              <w:end w:w="120" w:type="dxa"/>
            </w:tcMar>
          </w:tcPr>
          <w:p>
            <w:pPr>
              <w:spacing w:after="0"/>
              <w:jc w:val="left"/>
            </w:pPr>
            <w:r>
              <w:rPr>
                <w:rFonts w:ascii="Arial Unicode MS" w:hAnsi="Arial Unicode MS" w:eastAsia="Arial Unicode MS"/>
                <w:sz w:val="18"/>
              </w:rPr>
              <w:t>不安全草稿被平台硬门真正扣留</w:t>
            </w:r>
          </w:p>
        </w:tc>
        <w:tc>
          <w:tcPr>
            <w:tcW w:type="dxa" w:w="2560"/>
            <w:vAlign w:val="center"/>
            <w:tcMar>
              <w:top w:w="80" w:type="dxa"/>
              <w:start w:w="120" w:type="dxa"/>
              <w:bottom w:w="80" w:type="dxa"/>
              <w:end w:w="120" w:type="dxa"/>
            </w:tcMar>
          </w:tcPr>
          <w:p>
            <w:pPr>
              <w:spacing w:after="0"/>
              <w:jc w:val="left"/>
            </w:pPr>
            <w:r>
              <w:rPr>
                <w:rFonts w:ascii="Arial Unicode MS" w:hAnsi="Arial Unicode MS" w:eastAsia="Arial Unicode MS"/>
                <w:sz w:val="18"/>
              </w:rPr>
              <w:t>现有无依据数值/引用门</w:t>
            </w:r>
          </w:p>
        </w:tc>
      </w:tr>
    </w:tbl>
    <w:p>
      <w:pPr>
        <w:spacing w:after="20"/>
      </w:pPr>
    </w:p>
    <w:p>
      <w:pPr>
        <w:pStyle w:val="Heading1"/>
      </w:pPr>
      <w:r>
        <w:t>7. 模型适配与本地 CLI</w:t>
      </w:r>
    </w:p>
    <w:tbl>
      <w:tblPr>
        <w:tblW w:type="dxa" w:w="9360"/>
        <w:tblLayout w:type="fixed"/>
        <w:tblLook w:firstColumn="1" w:firstRow="1" w:lastColumn="0" w:lastRow="0" w:noHBand="0" w:noVBand="1" w:val="04A0"/>
        <w:jc w:val="left"/>
        <w:tblInd w:w="120" w:type="dxa"/>
        <w:tblBorders>
          <w:top w:val="single" w:sz="6" w:space="0" w:color="D7DBE2"/>
          <w:left w:val="single" w:sz="6" w:space="0" w:color="D7DBE2"/>
          <w:bottom w:val="single" w:sz="6" w:space="0" w:color="D7DBE2"/>
          <w:right w:val="single" w:sz="6" w:space="0" w:color="D7DBE2"/>
          <w:insideH w:val="single" w:sz="6" w:space="0" w:color="D7DBE2"/>
          <w:insideV w:val="single" w:sz="6" w:space="0" w:color="D7DBE2"/>
        </w:tblBorders>
      </w:tblPr>
      <w:tblGrid>
        <w:gridCol w:w="2600"/>
        <w:gridCol w:w="2700"/>
        <w:gridCol w:w="4060"/>
      </w:tblGrid>
      <w:tr>
        <w:trPr>
          <w:tblHeader w:val="true"/>
        </w:trPr>
        <w:tc>
          <w:tcPr>
            <w:tcW w:type="dxa" w:w="2600"/>
            <w:tcMar>
              <w:top w:w="80" w:type="dxa"/>
              <w:start w:w="120" w:type="dxa"/>
              <w:bottom w:w="80" w:type="dxa"/>
              <w:end w:w="120" w:type="dxa"/>
            </w:tcMar>
            <w:shd w:fill="F2F4F7"/>
            <w:vAlign w:val="center"/>
          </w:tcPr>
          <w:p>
            <w:pPr>
              <w:spacing w:after="0"/>
              <w:jc w:val="center"/>
            </w:pPr>
            <w:r>
              <w:rPr>
                <w:rFonts w:ascii="Arial Unicode MS" w:hAnsi="Arial Unicode MS" w:eastAsia="Arial Unicode MS"/>
                <w:b/>
                <w:color w:val="17365D"/>
                <w:sz w:val="19"/>
              </w:rPr>
              <w:t>模型</w:t>
            </w:r>
          </w:p>
        </w:tc>
        <w:tc>
          <w:tcPr>
            <w:tcW w:type="dxa" w:w="2700"/>
            <w:tcMar>
              <w:top w:w="80" w:type="dxa"/>
              <w:start w:w="120" w:type="dxa"/>
              <w:bottom w:w="80" w:type="dxa"/>
              <w:end w:w="120" w:type="dxa"/>
            </w:tcMar>
            <w:shd w:fill="F2F4F7"/>
            <w:vAlign w:val="center"/>
          </w:tcPr>
          <w:p>
            <w:pPr>
              <w:spacing w:after="0"/>
              <w:jc w:val="center"/>
            </w:pPr>
            <w:r>
              <w:rPr>
                <w:rFonts w:ascii="Arial Unicode MS" w:hAnsi="Arial Unicode MS" w:eastAsia="Arial Unicode MS"/>
                <w:b/>
                <w:color w:val="17365D"/>
                <w:sz w:val="19"/>
              </w:rPr>
              <w:t>本地路径</w:t>
            </w:r>
          </w:p>
        </w:tc>
        <w:tc>
          <w:tcPr>
            <w:tcW w:type="dxa" w:w="4060"/>
            <w:tcMar>
              <w:top w:w="80" w:type="dxa"/>
              <w:start w:w="120" w:type="dxa"/>
              <w:bottom w:w="80" w:type="dxa"/>
              <w:end w:w="120" w:type="dxa"/>
            </w:tcMar>
            <w:shd w:fill="F2F4F7"/>
            <w:vAlign w:val="center"/>
          </w:tcPr>
          <w:p>
            <w:pPr>
              <w:spacing w:after="0"/>
              <w:jc w:val="center"/>
            </w:pPr>
            <w:r>
              <w:rPr>
                <w:rFonts w:ascii="Arial Unicode MS" w:hAnsi="Arial Unicode MS" w:eastAsia="Arial Unicode MS"/>
                <w:b/>
                <w:color w:val="17365D"/>
                <w:sz w:val="19"/>
              </w:rPr>
              <w:t>正式评测角色</w:t>
            </w:r>
          </w:p>
        </w:tc>
      </w:tr>
      <w:tr>
        <w:tc>
          <w:tcPr>
            <w:tcW w:type="dxa" w:w="2600"/>
            <w:vAlign w:val="center"/>
            <w:tcMar>
              <w:top w:w="80" w:type="dxa"/>
              <w:start w:w="120" w:type="dxa"/>
              <w:bottom w:w="80" w:type="dxa"/>
              <w:end w:w="120" w:type="dxa"/>
            </w:tcMar>
          </w:tcPr>
          <w:p>
            <w:pPr>
              <w:spacing w:after="0"/>
              <w:jc w:val="left"/>
            </w:pPr>
            <w:r>
              <w:rPr>
                <w:rFonts w:ascii="Arial Unicode MS" w:hAnsi="Arial Unicode MS" w:eastAsia="Arial Unicode MS"/>
                <w:sz w:val="18"/>
              </w:rPr>
              <w:t>GPT-5.6 Sol / Terra / Luna</w:t>
            </w:r>
          </w:p>
        </w:tc>
        <w:tc>
          <w:tcPr>
            <w:tcW w:type="dxa" w:w="2700"/>
            <w:vAlign w:val="center"/>
            <w:tcMar>
              <w:top w:w="80" w:type="dxa"/>
              <w:start w:w="120" w:type="dxa"/>
              <w:bottom w:w="80" w:type="dxa"/>
              <w:end w:w="120" w:type="dxa"/>
            </w:tcMar>
          </w:tcPr>
          <w:p>
            <w:pPr>
              <w:spacing w:after="0"/>
              <w:jc w:val="left"/>
            </w:pPr>
            <w:r>
              <w:rPr>
                <w:rFonts w:ascii="Arial Unicode MS" w:hAnsi="Arial Unicode MS" w:eastAsia="Arial Unicode MS"/>
                <w:sz w:val="18"/>
              </w:rPr>
              <w:t>local:openai-cli</w:t>
            </w:r>
          </w:p>
        </w:tc>
        <w:tc>
          <w:tcPr>
            <w:tcW w:type="dxa" w:w="4060"/>
            <w:vAlign w:val="center"/>
            <w:tcMar>
              <w:top w:w="80" w:type="dxa"/>
              <w:start w:w="120" w:type="dxa"/>
              <w:bottom w:w="80" w:type="dxa"/>
              <w:end w:w="120" w:type="dxa"/>
            </w:tcMar>
          </w:tcPr>
          <w:p>
            <w:pPr>
              <w:spacing w:after="0"/>
              <w:jc w:val="left"/>
            </w:pPr>
            <w:r>
              <w:rPr>
                <w:rFonts w:ascii="Arial Unicode MS" w:hAnsi="Arial Unicode MS" w:eastAsia="Arial Unicode MS"/>
                <w:sz w:val="18"/>
              </w:rPr>
              <w:t>原始 192 样本矩阵中的三种 Codex 配置</w:t>
            </w:r>
          </w:p>
        </w:tc>
      </w:tr>
      <w:tr>
        <w:tc>
          <w:tcPr>
            <w:tcW w:type="dxa" w:w="2600"/>
            <w:vAlign w:val="center"/>
            <w:tcMar>
              <w:top w:w="80" w:type="dxa"/>
              <w:start w:w="120" w:type="dxa"/>
              <w:bottom w:w="80" w:type="dxa"/>
              <w:end w:w="120" w:type="dxa"/>
            </w:tcMar>
          </w:tcPr>
          <w:p>
            <w:pPr>
              <w:spacing w:after="0"/>
              <w:jc w:val="left"/>
            </w:pPr>
            <w:r>
              <w:rPr>
                <w:rFonts w:ascii="Arial Unicode MS" w:hAnsi="Arial Unicode MS" w:eastAsia="Arial Unicode MS"/>
                <w:sz w:val="18"/>
              </w:rPr>
              <w:t>Claude Fable 5</w:t>
            </w:r>
          </w:p>
        </w:tc>
        <w:tc>
          <w:tcPr>
            <w:tcW w:type="dxa" w:w="2700"/>
            <w:vAlign w:val="center"/>
            <w:tcMar>
              <w:top w:w="80" w:type="dxa"/>
              <w:start w:w="120" w:type="dxa"/>
              <w:bottom w:w="80" w:type="dxa"/>
              <w:end w:w="120" w:type="dxa"/>
            </w:tcMar>
          </w:tcPr>
          <w:p>
            <w:pPr>
              <w:spacing w:after="0"/>
              <w:jc w:val="left"/>
            </w:pPr>
            <w:r>
              <w:rPr>
                <w:rFonts w:ascii="Arial Unicode MS" w:hAnsi="Arial Unicode MS" w:eastAsia="Arial Unicode MS"/>
                <w:sz w:val="18"/>
              </w:rPr>
              <w:t>local:claude-cli</w:t>
            </w:r>
          </w:p>
        </w:tc>
        <w:tc>
          <w:tcPr>
            <w:tcW w:type="dxa" w:w="4060"/>
            <w:vAlign w:val="center"/>
            <w:tcMar>
              <w:top w:w="80" w:type="dxa"/>
              <w:start w:w="120" w:type="dxa"/>
              <w:bottom w:w="80" w:type="dxa"/>
              <w:end w:w="120" w:type="dxa"/>
            </w:tcMar>
          </w:tcPr>
          <w:p>
            <w:pPr>
              <w:spacing w:after="0"/>
              <w:jc w:val="left"/>
            </w:pPr>
            <w:r>
              <w:rPr>
                <w:rFonts w:ascii="Arial Unicode MS" w:hAnsi="Arial Unicode MS" w:eastAsia="Arial Unicode MS"/>
                <w:sz w:val="18"/>
              </w:rPr>
              <w:t>OAuth 登录后的同题同口径评测</w:t>
            </w:r>
          </w:p>
        </w:tc>
      </w:tr>
      <w:tr>
        <w:tc>
          <w:tcPr>
            <w:tcW w:type="dxa" w:w="2600"/>
            <w:vAlign w:val="center"/>
            <w:tcMar>
              <w:top w:w="80" w:type="dxa"/>
              <w:start w:w="120" w:type="dxa"/>
              <w:bottom w:w="80" w:type="dxa"/>
              <w:end w:w="120" w:type="dxa"/>
            </w:tcMar>
          </w:tcPr>
          <w:p>
            <w:pPr>
              <w:spacing w:after="0"/>
              <w:jc w:val="left"/>
            </w:pPr>
            <w:r>
              <w:rPr>
                <w:rFonts w:ascii="Arial Unicode MS" w:hAnsi="Arial Unicode MS" w:eastAsia="Arial Unicode MS"/>
                <w:sz w:val="18"/>
              </w:rPr>
              <w:t>Kimi K3</w:t>
            </w:r>
          </w:p>
        </w:tc>
        <w:tc>
          <w:tcPr>
            <w:tcW w:type="dxa" w:w="2700"/>
            <w:vAlign w:val="center"/>
            <w:tcMar>
              <w:top w:w="80" w:type="dxa"/>
              <w:start w:w="120" w:type="dxa"/>
              <w:bottom w:w="80" w:type="dxa"/>
              <w:end w:w="120" w:type="dxa"/>
            </w:tcMar>
          </w:tcPr>
          <w:p>
            <w:pPr>
              <w:spacing w:after="0"/>
              <w:jc w:val="left"/>
            </w:pPr>
            <w:r>
              <w:rPr>
                <w:rFonts w:ascii="Arial Unicode MS" w:hAnsi="Arial Unicode MS" w:eastAsia="Arial Unicode MS"/>
                <w:sz w:val="18"/>
              </w:rPr>
              <w:t>local:kimi-cli → kimi-code/k3</w:t>
            </w:r>
          </w:p>
        </w:tc>
        <w:tc>
          <w:tcPr>
            <w:tcW w:type="dxa" w:w="4060"/>
            <w:vAlign w:val="center"/>
            <w:tcMar>
              <w:top w:w="80" w:type="dxa"/>
              <w:start w:w="120" w:type="dxa"/>
              <w:bottom w:w="80" w:type="dxa"/>
              <w:end w:w="120" w:type="dxa"/>
            </w:tcMar>
          </w:tcPr>
          <w:p>
            <w:pPr>
              <w:spacing w:after="0"/>
              <w:jc w:val="left"/>
            </w:pPr>
            <w:r>
              <w:rPr>
                <w:rFonts w:ascii="Arial Unicode MS" w:hAnsi="Arial Unicode MS" w:eastAsia="Arial Unicode MS"/>
                <w:sz w:val="18"/>
              </w:rPr>
              <w:t>新增 48 样本扩展；提示模式、空 skills 目录与密钥环境隔离</w:t>
            </w:r>
          </w:p>
        </w:tc>
      </w:tr>
    </w:tbl>
    <w:p>
      <w:pPr>
        <w:spacing w:after="20"/>
      </w:pPr>
    </w:p>
    <w:p>
      <w:r>
        <w:rPr>
          <w:rFonts w:ascii="Arial Unicode MS" w:hAnsi="Arial Unicode MS" w:eastAsia="Arial Unicode MS"/>
        </w:rPr>
        <w:t>CLI 适配只解决模型调用，不授予任何科学可信度。所有模型进入 Standard Astro 后必须服从相同的路由、工具、来源和声明门。评测输出刻意不保存系统提示、提供商凭据、未裁剪上下文或完整来源正文。</w:t>
      </w:r>
    </w:p>
    <w:p>
      <w:pPr>
        <w:pStyle w:val="Heading1"/>
      </w:pPr>
      <w:r>
        <w:t>8. 观测性、开关与回滚</w:t>
      </w:r>
    </w:p>
    <w:p>
      <w:pPr>
        <w:pStyle w:val="ListBullet"/>
      </w:pPr>
      <w:r>
        <w:rPr>
          <w:rFonts w:ascii="Arial Unicode MS" w:hAnsi="Arial Unicode MS" w:eastAsia="Arial Unicode MS"/>
        </w:rPr>
        <w:t>LIGHTWEIGHT_VERIFICATION_ENABLED 默认关闭；关闭后恢复旧路由，无数据库迁移。</w:t>
      </w:r>
    </w:p>
    <w:p>
      <w:pPr>
        <w:pStyle w:val="ListBullet"/>
      </w:pPr>
      <w:r>
        <w:rPr>
          <w:rFonts w:ascii="Arial Unicode MS" w:hAnsi="Arial Unicode MS" w:eastAsia="Arial Unicode MS"/>
        </w:rPr>
        <w:t>指标覆盖任务种类、错误路由、来源适配器成功率、缓存命中、disposition、最早限制阶段、P50/P95 延迟和证据逃逸门。</w:t>
      </w:r>
    </w:p>
    <w:p>
      <w:pPr>
        <w:pStyle w:val="ListBullet"/>
      </w:pPr>
      <w:r>
        <w:rPr>
          <w:rFonts w:ascii="Arial Unicode MS" w:hAnsi="Arial Unicode MS" w:eastAsia="Arial Unicode MS"/>
        </w:rPr>
        <w:t>发现无依据数字、错误来源归因或旧盲测回归时，应立即关闭开关。</w:t>
      </w:r>
    </w:p>
    <w:p>
      <w:pPr>
        <w:pStyle w:val="ListBullet"/>
      </w:pPr>
      <w:r>
        <w:rPr>
          <w:rFonts w:ascii="Arial Unicode MS" w:hAnsi="Arial Unicode MS" w:eastAsia="Arial Unicode MS"/>
        </w:rPr>
        <w:t>关闭开关不删除凭证数据，也不改变现有完整研究矩阵的实现。</w:t>
      </w:r>
    </w:p>
    <w:p>
      <w:pPr>
        <w:pStyle w:val="Heading1"/>
      </w:pPr>
      <w:r>
        <w:t>9. 验证证据与当前成熟度</w:t>
      </w:r>
    </w:p>
    <w:tbl>
      <w:tblPr>
        <w:tblW w:type="dxa" w:w="9360"/>
        <w:jc w:val="left"/>
        <w:tblLayout w:type="fixed"/>
        <w:tblLook w:firstColumn="1" w:firstRow="1" w:lastColumn="0" w:lastRow="0" w:noHBand="0" w:noVBand="1" w:val="04A0"/>
        <w:tblInd w:w="120" w:type="dxa"/>
        <w:tblBorders>
          <w:top w:val="single" w:sz="2" w:space="0" w:color="FFF7E6"/>
          <w:left w:val="single" w:sz="2" w:space="0" w:color="FFF7E6"/>
          <w:bottom w:val="single" w:sz="2" w:space="0" w:color="FFF7E6"/>
          <w:right w:val="single" w:sz="2" w:space="0" w:color="FFF7E6"/>
          <w:insideH w:val="single" w:sz="2" w:space="0" w:color="FFF7E6"/>
          <w:insideV w:val="single" w:sz="2" w:space="0" w:color="FFF7E6"/>
        </w:tblBorders>
      </w:tblPr>
      <w:tblGrid>
        <w:gridCol w:w="9360"/>
      </w:tblGrid>
      <w:tr>
        <w:trPr>
          <w:tblHeader w:val="true"/>
        </w:trPr>
        <w:tc>
          <w:tcPr>
            <w:tcW w:type="dxa" w:w="9360"/>
            <w:tcMar>
              <w:top w:w="80" w:type="dxa"/>
              <w:start w:w="120" w:type="dxa"/>
              <w:bottom w:w="80" w:type="dxa"/>
              <w:end w:w="120" w:type="dxa"/>
            </w:tcMar>
            <w:shd w:fill="FFF7E6"/>
          </w:tcPr>
          <w:p>
            <w:pPr>
              <w:spacing w:after="40"/>
            </w:pPr>
            <w:r>
              <w:rPr>
                <w:rFonts w:ascii="Arial Unicode MS" w:hAnsi="Arial Unicode MS" w:eastAsia="Arial Unicode MS"/>
                <w:b/>
                <w:color w:val="1F4D78"/>
                <w:sz w:val="20"/>
              </w:rPr>
              <w:t>证据分层口径</w:t>
            </w:r>
          </w:p>
          <w:p>
            <w:pPr>
              <w:spacing w:after="0"/>
            </w:pPr>
            <w:r>
              <w:rPr>
                <w:rFonts w:ascii="Arial Unicode MS" w:hAnsi="Arial Unicode MS" w:eastAsia="Arial Unicode MS"/>
                <w:color w:val="202A35"/>
                <w:sz w:val="21"/>
              </w:rPr>
              <w:t>下表把“管道自检”与“模型行为证据”明确分开：规范措辞矩阵的系统侧满分属于前者；模型行为证据只能来自裸模型条件、自然措辞矩阵的模型在回路层与严格盲测。</w:t>
            </w:r>
          </w:p>
        </w:tc>
      </w:tr>
    </w:tbl>
    <w:p>
      <w:pPr>
        <w:spacing w:after="20"/>
      </w:pPr>
    </w:p>
    <w:tbl>
      <w:tblPr>
        <w:tblW w:type="dxa" w:w="9360"/>
        <w:tblLayout w:type="fixed"/>
        <w:tblLook w:firstColumn="1" w:firstRow="1" w:lastColumn="0" w:lastRow="0" w:noHBand="0" w:noVBand="1" w:val="04A0"/>
        <w:jc w:val="left"/>
        <w:tblInd w:w="120" w:type="dxa"/>
        <w:tblBorders>
          <w:top w:val="single" w:sz="6" w:space="0" w:color="D7DBE2"/>
          <w:left w:val="single" w:sz="6" w:space="0" w:color="D7DBE2"/>
          <w:bottom w:val="single" w:sz="6" w:space="0" w:color="D7DBE2"/>
          <w:right w:val="single" w:sz="6" w:space="0" w:color="D7DBE2"/>
          <w:insideH w:val="single" w:sz="6" w:space="0" w:color="D7DBE2"/>
          <w:insideV w:val="single" w:sz="6" w:space="0" w:color="D7DBE2"/>
        </w:tblBorders>
      </w:tblPr>
      <w:tblGrid>
        <w:gridCol w:w="2100"/>
        <w:gridCol w:w="3000"/>
        <w:gridCol w:w="4260"/>
      </w:tblGrid>
      <w:tr>
        <w:trPr>
          <w:tblHeader w:val="true"/>
        </w:trPr>
        <w:tc>
          <w:tcPr>
            <w:tcW w:type="dxa" w:w="2100"/>
            <w:tcMar>
              <w:top w:w="80" w:type="dxa"/>
              <w:start w:w="120" w:type="dxa"/>
              <w:bottom w:w="80" w:type="dxa"/>
              <w:end w:w="120" w:type="dxa"/>
            </w:tcMar>
            <w:shd w:fill="F2F4F7"/>
            <w:vAlign w:val="center"/>
          </w:tcPr>
          <w:p>
            <w:pPr>
              <w:spacing w:after="0"/>
              <w:jc w:val="center"/>
            </w:pPr>
            <w:r>
              <w:rPr>
                <w:rFonts w:ascii="Arial Unicode MS" w:hAnsi="Arial Unicode MS" w:eastAsia="Arial Unicode MS"/>
                <w:b/>
                <w:color w:val="17365D"/>
                <w:sz w:val="19"/>
              </w:rPr>
              <w:t>验证层</w:t>
            </w:r>
          </w:p>
        </w:tc>
        <w:tc>
          <w:tcPr>
            <w:tcW w:type="dxa" w:w="3000"/>
            <w:tcMar>
              <w:top w:w="80" w:type="dxa"/>
              <w:start w:w="120" w:type="dxa"/>
              <w:bottom w:w="80" w:type="dxa"/>
              <w:end w:w="120" w:type="dxa"/>
            </w:tcMar>
            <w:shd w:fill="F2F4F7"/>
            <w:vAlign w:val="center"/>
          </w:tcPr>
          <w:p>
            <w:pPr>
              <w:spacing w:after="0"/>
              <w:jc w:val="center"/>
            </w:pPr>
            <w:r>
              <w:rPr>
                <w:rFonts w:ascii="Arial Unicode MS" w:hAnsi="Arial Unicode MS" w:eastAsia="Arial Unicode MS"/>
                <w:b/>
                <w:color w:val="17365D"/>
                <w:sz w:val="19"/>
              </w:rPr>
              <w:t>结果</w:t>
            </w:r>
          </w:p>
        </w:tc>
        <w:tc>
          <w:tcPr>
            <w:tcW w:type="dxa" w:w="4260"/>
            <w:tcMar>
              <w:top w:w="80" w:type="dxa"/>
              <w:start w:w="120" w:type="dxa"/>
              <w:bottom w:w="80" w:type="dxa"/>
              <w:end w:w="120" w:type="dxa"/>
            </w:tcMar>
            <w:shd w:fill="F2F4F7"/>
            <w:vAlign w:val="center"/>
          </w:tcPr>
          <w:p>
            <w:pPr>
              <w:spacing w:after="0"/>
              <w:jc w:val="center"/>
            </w:pPr>
            <w:r>
              <w:rPr>
                <w:rFonts w:ascii="Arial Unicode MS" w:hAnsi="Arial Unicode MS" w:eastAsia="Arial Unicode MS"/>
                <w:b/>
                <w:color w:val="17365D"/>
                <w:sz w:val="19"/>
              </w:rPr>
              <w:t>解释</w:t>
            </w:r>
          </w:p>
        </w:tc>
      </w:tr>
      <w:tr>
        <w:tc>
          <w:tcPr>
            <w:tcW w:type="dxa" w:w="2100"/>
            <w:vAlign w:val="center"/>
            <w:tcMar>
              <w:top w:w="80" w:type="dxa"/>
              <w:start w:w="120" w:type="dxa"/>
              <w:bottom w:w="80" w:type="dxa"/>
              <w:end w:w="120" w:type="dxa"/>
            </w:tcMar>
          </w:tcPr>
          <w:p>
            <w:pPr>
              <w:spacing w:after="0"/>
              <w:jc w:val="left"/>
            </w:pPr>
            <w:r>
              <w:rPr>
                <w:rFonts w:ascii="Arial Unicode MS" w:hAnsi="Arial Unicode MS" w:eastAsia="Arial Unicode MS"/>
                <w:sz w:val="18"/>
              </w:rPr>
              <w:t>规范措辞矩阵（管道自检）</w:t>
            </w:r>
          </w:p>
        </w:tc>
        <w:tc>
          <w:tcPr>
            <w:tcW w:type="dxa" w:w="3000"/>
            <w:vAlign w:val="center"/>
            <w:tcMar>
              <w:top w:w="80" w:type="dxa"/>
              <w:start w:w="120" w:type="dxa"/>
              <w:bottom w:w="80" w:type="dxa"/>
              <w:end w:w="120" w:type="dxa"/>
            </w:tcMar>
          </w:tcPr>
          <w:p>
            <w:pPr>
              <w:spacing w:after="0"/>
              <w:jc w:val="left"/>
            </w:pPr>
            <w:r>
              <w:rPr>
                <w:rFonts w:ascii="Arial Unicode MS" w:hAnsi="Arial Unicode MS" w:eastAsia="Arial Unicode MS"/>
                <w:sz w:val="18"/>
              </w:rPr>
              <w:t>240/240 完成；系统侧 1440/1440</w:t>
            </w:r>
          </w:p>
        </w:tc>
        <w:tc>
          <w:tcPr>
            <w:tcW w:type="dxa" w:w="4260"/>
            <w:vAlign w:val="center"/>
            <w:tcMar>
              <w:top w:w="80" w:type="dxa"/>
              <w:start w:w="120" w:type="dxa"/>
              <w:bottom w:w="80" w:type="dxa"/>
              <w:end w:w="120" w:type="dxa"/>
            </w:tcMar>
          </w:tcPr>
          <w:p>
            <w:pPr>
              <w:spacing w:after="0"/>
              <w:jc w:val="left"/>
            </w:pPr>
            <w:r>
              <w:rPr>
                <w:rFonts w:ascii="Arial Unicode MS" w:hAnsi="Arial Unicode MS" w:eastAsia="Arial Unicode MS"/>
                <w:sz w:val="18"/>
              </w:rPr>
              <w:t>系统条件由确定性路径应答（7/8 任务毫秒级，模型不在回路）；证明管道与审计规则自洽，不构成模型行为证据</w:t>
            </w:r>
          </w:p>
        </w:tc>
      </w:tr>
      <w:tr>
        <w:tc>
          <w:tcPr>
            <w:tcW w:type="dxa" w:w="2100"/>
            <w:vAlign w:val="center"/>
            <w:tcMar>
              <w:top w:w="80" w:type="dxa"/>
              <w:start w:w="120" w:type="dxa"/>
              <w:bottom w:w="80" w:type="dxa"/>
              <w:end w:w="120" w:type="dxa"/>
            </w:tcMar>
          </w:tcPr>
          <w:p>
            <w:pPr>
              <w:spacing w:after="0"/>
              <w:jc w:val="left"/>
            </w:pPr>
            <w:r>
              <w:rPr>
                <w:rFonts w:ascii="Arial Unicode MS" w:hAnsi="Arial Unicode MS" w:eastAsia="Arial Unicode MS"/>
                <w:sz w:val="18"/>
              </w:rPr>
              <w:t>规范矩阵裸模型基线</w:t>
            </w:r>
          </w:p>
        </w:tc>
        <w:tc>
          <w:tcPr>
            <w:tcW w:type="dxa" w:w="3000"/>
            <w:vAlign w:val="center"/>
            <w:tcMar>
              <w:top w:w="80" w:type="dxa"/>
              <w:start w:w="120" w:type="dxa"/>
              <w:bottom w:w="80" w:type="dxa"/>
              <w:end w:w="120" w:type="dxa"/>
            </w:tcMar>
          </w:tcPr>
          <w:p>
            <w:pPr>
              <w:spacing w:after="0"/>
              <w:jc w:val="left"/>
            </w:pPr>
            <w:r>
              <w:rPr>
                <w:rFonts w:ascii="Arial Unicode MS" w:hAnsi="Arial Unicode MS" w:eastAsia="Arial Unicode MS"/>
                <w:sz w:val="18"/>
              </w:rPr>
              <w:t>839/1440（58.3%）</w:t>
            </w:r>
          </w:p>
        </w:tc>
        <w:tc>
          <w:tcPr>
            <w:tcW w:type="dxa" w:w="4260"/>
            <w:vAlign w:val="center"/>
            <w:tcMar>
              <w:top w:w="80" w:type="dxa"/>
              <w:start w:w="120" w:type="dxa"/>
              <w:bottom w:w="80" w:type="dxa"/>
              <w:end w:w="120" w:type="dxa"/>
            </w:tcMar>
          </w:tcPr>
          <w:p>
            <w:pPr>
              <w:spacing w:after="0"/>
              <w:jc w:val="left"/>
            </w:pPr>
            <w:r>
              <w:rPr>
                <w:rFonts w:ascii="Arial Unicode MS" w:hAnsi="Arial Unicode MS" w:eastAsia="Arial Unicode MS"/>
                <w:sz w:val="18"/>
              </w:rPr>
              <w:t>五个真实模型闭卷作答的行为数据；来源与证据维度失分集中</w:t>
            </w:r>
          </w:p>
        </w:tc>
      </w:tr>
      <w:tr>
        <w:tc>
          <w:tcPr>
            <w:tcW w:type="dxa" w:w="2100"/>
            <w:vAlign w:val="center"/>
            <w:tcMar>
              <w:top w:w="80" w:type="dxa"/>
              <w:start w:w="120" w:type="dxa"/>
              <w:bottom w:w="80" w:type="dxa"/>
              <w:end w:w="120" w:type="dxa"/>
            </w:tcMar>
          </w:tcPr>
          <w:p>
            <w:pPr>
              <w:spacing w:after="0"/>
              <w:jc w:val="left"/>
            </w:pPr>
            <w:r>
              <w:rPr>
                <w:rFonts w:ascii="Arial Unicode MS" w:hAnsi="Arial Unicode MS" w:eastAsia="Arial Unicode MS"/>
                <w:sz w:val="18"/>
              </w:rPr>
              <w:t>来源与数值证据（规范矩阵系统侧）</w:t>
            </w:r>
          </w:p>
        </w:tc>
        <w:tc>
          <w:tcPr>
            <w:tcW w:type="dxa" w:w="3000"/>
            <w:vAlign w:val="center"/>
            <w:tcMar>
              <w:top w:w="80" w:type="dxa"/>
              <w:start w:w="120" w:type="dxa"/>
              <w:bottom w:w="80" w:type="dxa"/>
              <w:end w:w="120" w:type="dxa"/>
            </w:tcMar>
          </w:tcPr>
          <w:p>
            <w:pPr>
              <w:spacing w:after="0"/>
              <w:jc w:val="left"/>
            </w:pPr>
            <w:r>
              <w:rPr>
                <w:rFonts w:ascii="Arial Unicode MS" w:hAnsi="Arial Unicode MS" w:eastAsia="Arial Unicode MS"/>
                <w:sz w:val="18"/>
              </w:rPr>
              <w:t>各 240/240</w:t>
            </w:r>
          </w:p>
        </w:tc>
        <w:tc>
          <w:tcPr>
            <w:tcW w:type="dxa" w:w="4260"/>
            <w:vAlign w:val="center"/>
            <w:tcMar>
              <w:top w:w="80" w:type="dxa"/>
              <w:start w:w="120" w:type="dxa"/>
              <w:bottom w:w="80" w:type="dxa"/>
              <w:end w:w="120" w:type="dxa"/>
            </w:tcMar>
          </w:tcPr>
          <w:p>
            <w:pPr>
              <w:spacing w:after="0"/>
              <w:jc w:val="left"/>
            </w:pPr>
            <w:r>
              <w:rPr>
                <w:rFonts w:ascii="Arial Unicode MS" w:hAnsi="Arial Unicode MS" w:eastAsia="Arial Unicode MS"/>
                <w:sz w:val="18"/>
              </w:rPr>
              <w:t>结构化凭证和声明门读取；口径仅覆盖确定性路径样本</w:t>
            </w:r>
          </w:p>
        </w:tc>
      </w:tr>
      <w:tr>
        <w:tc>
          <w:tcPr>
            <w:tcW w:type="dxa" w:w="2100"/>
            <w:vAlign w:val="center"/>
            <w:tcMar>
              <w:top w:w="80" w:type="dxa"/>
              <w:start w:w="120" w:type="dxa"/>
              <w:bottom w:w="80" w:type="dxa"/>
              <w:end w:w="120" w:type="dxa"/>
            </w:tcMar>
          </w:tcPr>
          <w:p>
            <w:pPr>
              <w:spacing w:after="0"/>
              <w:jc w:val="left"/>
            </w:pPr>
            <w:r>
              <w:rPr>
                <w:rFonts w:ascii="Arial Unicode MS" w:hAnsi="Arial Unicode MS" w:eastAsia="Arial Unicode MS"/>
                <w:sz w:val="18"/>
              </w:rPr>
              <w:t>自然措辞矩阵（模型在回路）</w:t>
            </w:r>
          </w:p>
        </w:tc>
        <w:tc>
          <w:tcPr>
            <w:tcW w:type="dxa" w:w="3000"/>
            <w:vAlign w:val="center"/>
            <w:tcMar>
              <w:top w:w="80" w:type="dxa"/>
              <w:start w:w="120" w:type="dxa"/>
              <w:bottom w:w="80" w:type="dxa"/>
              <w:end w:w="120" w:type="dxa"/>
            </w:tcMar>
          </w:tcPr>
          <w:p>
            <w:pPr>
              <w:spacing w:after="0"/>
              <w:jc w:val="left"/>
            </w:pPr>
            <w:r>
              <w:rPr>
                <w:rFonts w:ascii="Arial Unicode MS" w:hAnsi="Arial Unicode MS" w:eastAsia="Arial Unicode MS"/>
                <w:sz w:val="18"/>
              </w:rPr>
              <w:t>确定性接走 30、模型参与 90；模型在回路层 832/1080（77.0%，n=90）；逃逸原始标记 22/60（36.7%）</w:t>
            </w:r>
          </w:p>
        </w:tc>
        <w:tc>
          <w:tcPr>
            <w:tcW w:type="dxa" w:w="4260"/>
            <w:vAlign w:val="center"/>
            <w:tcMar>
              <w:top w:w="80" w:type="dxa"/>
              <w:start w:w="120" w:type="dxa"/>
              <w:bottom w:w="80" w:type="dxa"/>
              <w:end w:w="120" w:type="dxa"/>
            </w:tcMar>
          </w:tcPr>
          <w:p>
            <w:pPr>
              <w:spacing w:after="0"/>
              <w:jc w:val="left"/>
            </w:pPr>
            <w:r>
              <w:rPr>
                <w:rFonts w:ascii="Arial Unicode MS" w:hAnsi="Arial Unicode MS" w:eastAsia="Arial Unicode MS"/>
                <w:sz w:val="18"/>
              </w:rPr>
              <w:t>同一冻结评分规则；人工判读：系统侧真实洗白 0、复述未验证数字 0/15，裸模型 15/15；判读与两个真实缺陷见测试结果综述第 8 节</w:t>
            </w:r>
          </w:p>
        </w:tc>
      </w:tr>
      <w:tr>
        <w:tc>
          <w:tcPr>
            <w:tcW w:type="dxa" w:w="2100"/>
            <w:vAlign w:val="center"/>
            <w:tcMar>
              <w:top w:w="80" w:type="dxa"/>
              <w:start w:w="120" w:type="dxa"/>
              <w:bottom w:w="80" w:type="dxa"/>
              <w:end w:w="120" w:type="dxa"/>
            </w:tcMar>
          </w:tcPr>
          <w:p>
            <w:pPr>
              <w:spacing w:after="0"/>
              <w:jc w:val="left"/>
            </w:pPr>
            <w:r>
              <w:rPr>
                <w:rFonts w:ascii="Arial Unicode MS" w:hAnsi="Arial Unicode MS" w:eastAsia="Arial Unicode MS"/>
                <w:sz w:val="18"/>
              </w:rPr>
              <w:t>后端全量回归</w:t>
            </w:r>
          </w:p>
        </w:tc>
        <w:tc>
          <w:tcPr>
            <w:tcW w:type="dxa" w:w="3000"/>
            <w:vAlign w:val="center"/>
            <w:tcMar>
              <w:top w:w="80" w:type="dxa"/>
              <w:start w:w="120" w:type="dxa"/>
              <w:bottom w:w="80" w:type="dxa"/>
              <w:end w:w="120" w:type="dxa"/>
            </w:tcMar>
          </w:tcPr>
          <w:p>
            <w:pPr>
              <w:spacing w:after="0"/>
              <w:jc w:val="left"/>
            </w:pPr>
            <w:r>
              <w:rPr>
                <w:rFonts w:ascii="Arial Unicode MS" w:hAnsi="Arial Unicode MS" w:eastAsia="Arial Unicode MS"/>
                <w:sz w:val="18"/>
              </w:rPr>
              <w:t>3952 passed, 8 skipped, 0 failed</w:t>
            </w:r>
          </w:p>
        </w:tc>
        <w:tc>
          <w:tcPr>
            <w:tcW w:type="dxa" w:w="4260"/>
            <w:vAlign w:val="center"/>
            <w:tcMar>
              <w:top w:w="80" w:type="dxa"/>
              <w:start w:w="120" w:type="dxa"/>
              <w:bottom w:w="80" w:type="dxa"/>
              <w:end w:w="120" w:type="dxa"/>
            </w:tcMar>
          </w:tcPr>
          <w:p>
            <w:pPr>
              <w:spacing w:after="0"/>
              <w:jc w:val="left"/>
            </w:pPr>
            <w:r>
              <w:rPr>
                <w:rFonts w:ascii="Arial Unicode MS" w:hAnsi="Arial Unicode MS" w:eastAsia="Arial Unicode MS"/>
                <w:sz w:val="18"/>
              </w:rPr>
              <w:t>本地 Python 3.14 借用环境；仍需 Python 3.11 CI 复核</w:t>
            </w:r>
          </w:p>
        </w:tc>
      </w:tr>
      <w:tr>
        <w:tc>
          <w:tcPr>
            <w:tcW w:type="dxa" w:w="2100"/>
            <w:vAlign w:val="center"/>
            <w:tcMar>
              <w:top w:w="80" w:type="dxa"/>
              <w:start w:w="120" w:type="dxa"/>
              <w:bottom w:w="80" w:type="dxa"/>
              <w:end w:w="120" w:type="dxa"/>
            </w:tcMar>
          </w:tcPr>
          <w:p>
            <w:pPr>
              <w:spacing w:after="0"/>
              <w:jc w:val="left"/>
            </w:pPr>
            <w:r>
              <w:rPr>
                <w:rFonts w:ascii="Arial Unicode MS" w:hAnsi="Arial Unicode MS" w:eastAsia="Arial Unicode MS"/>
                <w:sz w:val="18"/>
              </w:rPr>
              <w:t>前端</w:t>
            </w:r>
          </w:p>
        </w:tc>
        <w:tc>
          <w:tcPr>
            <w:tcW w:type="dxa" w:w="3000"/>
            <w:vAlign w:val="center"/>
            <w:tcMar>
              <w:top w:w="80" w:type="dxa"/>
              <w:start w:w="120" w:type="dxa"/>
              <w:bottom w:w="80" w:type="dxa"/>
              <w:end w:w="120" w:type="dxa"/>
            </w:tcMar>
          </w:tcPr>
          <w:p>
            <w:pPr>
              <w:spacing w:after="0"/>
              <w:jc w:val="left"/>
            </w:pPr>
            <w:r>
              <w:rPr>
                <w:rFonts w:ascii="Arial Unicode MS" w:hAnsi="Arial Unicode MS" w:eastAsia="Arial Unicode MS"/>
                <w:sz w:val="18"/>
              </w:rPr>
              <w:t>253/253 tests；lint/build 通过</w:t>
            </w:r>
          </w:p>
        </w:tc>
        <w:tc>
          <w:tcPr>
            <w:tcW w:type="dxa" w:w="4260"/>
            <w:vAlign w:val="center"/>
            <w:tcMar>
              <w:top w:w="80" w:type="dxa"/>
              <w:start w:w="120" w:type="dxa"/>
              <w:bottom w:w="80" w:type="dxa"/>
              <w:end w:w="120" w:type="dxa"/>
            </w:tcMar>
          </w:tcPr>
          <w:p>
            <w:pPr>
              <w:spacing w:after="0"/>
              <w:jc w:val="left"/>
            </w:pPr>
            <w:r>
              <w:rPr>
                <w:rFonts w:ascii="Arial Unicode MS" w:hAnsi="Arial Unicode MS" w:eastAsia="Arial Unicode MS"/>
                <w:sz w:val="18"/>
              </w:rPr>
              <w:t>含 schema v1/v2 与三类凭证卡</w:t>
            </w:r>
          </w:p>
        </w:tc>
      </w:tr>
      <w:tr>
        <w:tc>
          <w:tcPr>
            <w:tcW w:type="dxa" w:w="2100"/>
            <w:vAlign w:val="center"/>
            <w:tcMar>
              <w:top w:w="80" w:type="dxa"/>
              <w:start w:w="120" w:type="dxa"/>
              <w:bottom w:w="80" w:type="dxa"/>
              <w:end w:w="120" w:type="dxa"/>
            </w:tcMar>
          </w:tcPr>
          <w:p>
            <w:pPr>
              <w:spacing w:after="0"/>
              <w:jc w:val="left"/>
            </w:pPr>
            <w:r>
              <w:rPr>
                <w:rFonts w:ascii="Arial Unicode MS" w:hAnsi="Arial Unicode MS" w:eastAsia="Arial Unicode MS"/>
                <w:sz w:val="18"/>
              </w:rPr>
              <w:t>严格盲测</w:t>
            </w:r>
          </w:p>
        </w:tc>
        <w:tc>
          <w:tcPr>
            <w:tcW w:type="dxa" w:w="3000"/>
            <w:vAlign w:val="center"/>
            <w:tcMar>
              <w:top w:w="80" w:type="dxa"/>
              <w:start w:w="120" w:type="dxa"/>
              <w:bottom w:w="80" w:type="dxa"/>
              <w:end w:w="120" w:type="dxa"/>
            </w:tcMar>
          </w:tcPr>
          <w:p>
            <w:pPr>
              <w:spacing w:after="0"/>
              <w:jc w:val="left"/>
            </w:pPr>
            <w:r>
              <w:rPr>
                <w:rFonts w:ascii="Arial Unicode MS" w:hAnsi="Arial Unicode MS" w:eastAsia="Arial Unicode MS"/>
                <w:sz w:val="18"/>
              </w:rPr>
              <w:t>12 case 完成；硬门失守 0/12（95% 置信上界 25.0%）；3 个措辞软检查未命中</w:t>
            </w:r>
          </w:p>
        </w:tc>
        <w:tc>
          <w:tcPr>
            <w:tcW w:type="dxa" w:w="4260"/>
            <w:vAlign w:val="center"/>
            <w:tcMar>
              <w:top w:w="80" w:type="dxa"/>
              <w:start w:w="120" w:type="dxa"/>
              <w:bottom w:w="80" w:type="dxa"/>
              <w:end w:w="120" w:type="dxa"/>
            </w:tcMar>
          </w:tcPr>
          <w:p>
            <w:pPr>
              <w:spacing w:after="0"/>
              <w:jc w:val="left"/>
            </w:pPr>
            <w:r>
              <w:rPr>
                <w:rFonts w:ascii="Arial Unicode MS" w:hAnsi="Arial Unicode MS" w:eastAsia="Arial Unicode MS"/>
                <w:sz w:val="18"/>
              </w:rPr>
              <w:t>模型在回路的对抗性证据；软检查失败集中在反伪造场景的措辞层，须与满分口径并列陈述</w:t>
            </w:r>
          </w:p>
        </w:tc>
      </w:tr>
      <w:tr>
        <w:tc>
          <w:tcPr>
            <w:tcW w:type="dxa" w:w="2100"/>
            <w:vAlign w:val="center"/>
            <w:tcMar>
              <w:top w:w="80" w:type="dxa"/>
              <w:start w:w="120" w:type="dxa"/>
              <w:bottom w:w="80" w:type="dxa"/>
              <w:end w:w="120" w:type="dxa"/>
            </w:tcMar>
          </w:tcPr>
          <w:p>
            <w:pPr>
              <w:spacing w:after="0"/>
              <w:jc w:val="left"/>
            </w:pPr>
            <w:r>
              <w:rPr>
                <w:rFonts w:ascii="Arial Unicode MS" w:hAnsi="Arial Unicode MS" w:eastAsia="Arial Unicode MS"/>
                <w:sz w:val="18"/>
              </w:rPr>
              <w:t>注册表/基准</w:t>
            </w:r>
          </w:p>
        </w:tc>
        <w:tc>
          <w:tcPr>
            <w:tcW w:type="dxa" w:w="3000"/>
            <w:vAlign w:val="center"/>
            <w:tcMar>
              <w:top w:w="80" w:type="dxa"/>
              <w:start w:w="120" w:type="dxa"/>
              <w:bottom w:w="80" w:type="dxa"/>
              <w:end w:w="120" w:type="dxa"/>
            </w:tcMar>
          </w:tcPr>
          <w:p>
            <w:pPr>
              <w:spacing w:after="0"/>
              <w:jc w:val="left"/>
            </w:pPr>
            <w:r>
              <w:rPr>
                <w:rFonts w:ascii="Arial Unicode MS" w:hAnsi="Arial Unicode MS" w:eastAsia="Arial Unicode MS"/>
                <w:sz w:val="18"/>
              </w:rPr>
              <w:t>registry 34/34；benchmark 23 pass, 2 intended skip</w:t>
            </w:r>
          </w:p>
        </w:tc>
        <w:tc>
          <w:tcPr>
            <w:tcW w:type="dxa" w:w="4260"/>
            <w:vAlign w:val="center"/>
            <w:tcMar>
              <w:top w:w="80" w:type="dxa"/>
              <w:start w:w="120" w:type="dxa"/>
              <w:bottom w:w="80" w:type="dxa"/>
              <w:end w:w="120" w:type="dxa"/>
            </w:tcMar>
          </w:tcPr>
          <w:p>
            <w:pPr>
              <w:spacing w:after="0"/>
              <w:jc w:val="left"/>
            </w:pPr>
            <w:r>
              <w:rPr>
                <w:rFonts w:ascii="Arial Unicode MS" w:hAnsi="Arial Unicode MS" w:eastAsia="Arial Unicode MS"/>
                <w:sz w:val="18"/>
              </w:rPr>
              <w:t>确定性科学路径保持回归</w:t>
            </w:r>
          </w:p>
        </w:tc>
      </w:tr>
      <w:tr>
        <w:tc>
          <w:tcPr>
            <w:tcW w:type="dxa" w:w="2100"/>
            <w:vAlign w:val="center"/>
            <w:tcMar>
              <w:top w:w="80" w:type="dxa"/>
              <w:start w:w="120" w:type="dxa"/>
              <w:bottom w:w="80" w:type="dxa"/>
              <w:end w:w="120" w:type="dxa"/>
            </w:tcMar>
          </w:tcPr>
          <w:p>
            <w:pPr>
              <w:spacing w:after="0"/>
              <w:jc w:val="left"/>
            </w:pPr>
            <w:r>
              <w:rPr>
                <w:rFonts w:ascii="Arial Unicode MS" w:hAnsi="Arial Unicode MS" w:eastAsia="Arial Unicode MS"/>
                <w:sz w:val="18"/>
              </w:rPr>
              <w:t>专家盲评</w:t>
            </w:r>
          </w:p>
        </w:tc>
        <w:tc>
          <w:tcPr>
            <w:tcW w:type="dxa" w:w="3000"/>
            <w:vAlign w:val="center"/>
            <w:tcMar>
              <w:top w:w="80" w:type="dxa"/>
              <w:start w:w="120" w:type="dxa"/>
              <w:bottom w:w="80" w:type="dxa"/>
              <w:end w:w="120" w:type="dxa"/>
            </w:tcMar>
          </w:tcPr>
          <w:p>
            <w:pPr>
              <w:spacing w:after="0"/>
              <w:jc w:val="left"/>
            </w:pPr>
            <w:r>
              <w:rPr>
                <w:rFonts w:ascii="Arial Unicode MS" w:hAnsi="Arial Unicode MS" w:eastAsia="Arial Unicode MS"/>
                <w:sz w:val="18"/>
              </w:rPr>
              <w:t>待完成</w:t>
            </w:r>
          </w:p>
        </w:tc>
        <w:tc>
          <w:tcPr>
            <w:tcW w:type="dxa" w:w="4260"/>
            <w:vAlign w:val="center"/>
            <w:tcMar>
              <w:top w:w="80" w:type="dxa"/>
              <w:start w:w="120" w:type="dxa"/>
              <w:bottom w:w="80" w:type="dxa"/>
              <w:end w:w="120" w:type="dxa"/>
            </w:tcMar>
          </w:tcPr>
          <w:p>
            <w:pPr>
              <w:spacing w:after="0"/>
              <w:jc w:val="left"/>
            </w:pPr>
            <w:r>
              <w:rPr>
                <w:rFonts w:ascii="Arial Unicode MS" w:hAnsi="Arial Unicode MS" w:eastAsia="Arial Unicode MS"/>
                <w:sz w:val="18"/>
              </w:rPr>
              <w:t>12 组匿名 A/B，不可由自动评分替代；系统侧材料必须取自模型在回路的真实对话</w:t>
            </w:r>
          </w:p>
        </w:tc>
      </w:tr>
    </w:tbl>
    <w:p>
      <w:pPr>
        <w:spacing w:after="20"/>
      </w:pPr>
    </w:p>
    <w:p>
      <w:pPr>
        <w:pStyle w:val="Heading1"/>
      </w:pPr>
      <w:r>
        <w:t>10. 局限、风险与发布建议</w:t>
      </w:r>
    </w:p>
    <w:p>
      <w:pPr>
        <w:pStyle w:val="ListBullet"/>
      </w:pPr>
      <w:r>
        <w:rPr>
          <w:rFonts w:ascii="Arial Unicode MS" w:hAnsi="Arial Unicode MS" w:eastAsia="Arial Unicode MS"/>
        </w:rPr>
        <w:t>8 道任务是高价值微任务，不覆盖观测宇宙学全部研究形态。</w:t>
      </w:r>
    </w:p>
    <w:p>
      <w:pPr>
        <w:pStyle w:val="ListBullet"/>
      </w:pPr>
      <w:r>
        <w:rPr>
          <w:rFonts w:ascii="Arial Unicode MS" w:hAnsi="Arial Unicode MS" w:eastAsia="Arial Unicode MS"/>
        </w:rPr>
        <w:t>规范措辞矩阵的题目使用路由器可直接识别的语言，其系统侧满分不能外推到自然用户输入；自然措辞矩阵正是为补此缺口而增设。</w:t>
      </w:r>
    </w:p>
    <w:p>
      <w:pPr>
        <w:pStyle w:val="ListBullet"/>
      </w:pPr>
      <w:r>
        <w:rPr>
          <w:rFonts w:ascii="Arial Unicode MS" w:hAnsi="Arial Unicode MS" w:eastAsia="Arial Unicode MS"/>
        </w:rPr>
        <w:t>规范矩阵的 240 个正式样本经历过多轮修复-重跑-合并（repair/merge 文件链保留在 .local 审计目录），“冻结后一次通过”不成立，评审时应按迭代达标理解。</w:t>
      </w:r>
    </w:p>
    <w:p>
      <w:pPr>
        <w:pStyle w:val="ListBullet"/>
      </w:pPr>
      <w:r>
        <w:rPr>
          <w:rFonts w:ascii="Arial Unicode MS" w:hAnsi="Arial Unicode MS" w:eastAsia="Arial Unicode MS"/>
        </w:rPr>
        <w:t>一阶 Jacobian 不适用于强非线性、非高斯或边界主导问题；这些问题必须升级到 full_research。</w:t>
      </w:r>
    </w:p>
    <w:p>
      <w:pPr>
        <w:pStyle w:val="ListBullet"/>
      </w:pPr>
      <w:r>
        <w:rPr>
          <w:rFonts w:ascii="Arial Unicode MS" w:hAnsi="Arial Unicode MS" w:eastAsia="Arial Unicode MS"/>
        </w:rPr>
        <w:t>自动评分由项目方设计，即使预注册也存在构念偏差；专家盲评是必要外部校准。</w:t>
      </w:r>
    </w:p>
    <w:p>
      <w:pPr>
        <w:pStyle w:val="ListBullet"/>
      </w:pPr>
      <w:r>
        <w:rPr>
          <w:rFonts w:ascii="Arial Unicode MS" w:hAnsi="Arial Unicode MS" w:eastAsia="Arial Unicode MS"/>
        </w:rPr>
        <w:t>当前本地全量回归使用 Python 3.14 借用环境，尚不能代替项目规定的全新 Python 3.11 checkout/CI。</w:t>
      </w:r>
    </w:p>
    <w:p>
      <w:pPr>
        <w:pStyle w:val="ListBullet"/>
      </w:pPr>
      <w:r>
        <w:rPr>
          <w:rFonts w:ascii="Arial Unicode MS" w:hAnsi="Arial Unicode MS" w:eastAsia="Arial Unicode MS"/>
        </w:rPr>
        <w:t>本地盲测数据库没有 provenance_records 可选表，持久化写入产生告警；当轮凭证和评分未受影响，但生产演示前应完成迁移验证。</w:t>
      </w:r>
    </w:p>
    <w:p>
      <w:pPr>
        <w:pStyle w:val="ListBullet"/>
      </w:pPr>
      <w:r>
        <w:rPr>
          <w:rFonts w:ascii="Arial Unicode MS" w:hAnsi="Arial Unicode MS" w:eastAsia="Arial Unicode MS"/>
        </w:rPr>
        <w:t>真实用户、72 小时运行观察、备份恢复和生产回滚演练尚未完成。</w:t>
      </w:r>
    </w:p>
    <w:tbl>
      <w:tblPr>
        <w:tblW w:type="dxa" w:w="9360"/>
        <w:jc w:val="left"/>
        <w:tblLayout w:type="fixed"/>
        <w:tblLook w:firstColumn="1" w:firstRow="1" w:lastColumn="0" w:lastRow="0" w:noHBand="0" w:noVBand="1" w:val="04A0"/>
        <w:tblInd w:w="120" w:type="dxa"/>
        <w:tblBorders>
          <w:top w:val="single" w:sz="2" w:space="0" w:color="FFF7E6"/>
          <w:left w:val="single" w:sz="2" w:space="0" w:color="FFF7E6"/>
          <w:bottom w:val="single" w:sz="2" w:space="0" w:color="FFF7E6"/>
          <w:right w:val="single" w:sz="2" w:space="0" w:color="FFF7E6"/>
          <w:insideH w:val="single" w:sz="2" w:space="0" w:color="FFF7E6"/>
          <w:insideV w:val="single" w:sz="2" w:space="0" w:color="FFF7E6"/>
        </w:tblBorders>
      </w:tblPr>
      <w:tblGrid>
        <w:gridCol w:w="9360"/>
      </w:tblGrid>
      <w:tr>
        <w:trPr>
          <w:tblHeader w:val="true"/>
        </w:trPr>
        <w:tc>
          <w:tcPr>
            <w:tcW w:type="dxa" w:w="9360"/>
            <w:tcMar>
              <w:top w:w="80" w:type="dxa"/>
              <w:start w:w="120" w:type="dxa"/>
              <w:bottom w:w="80" w:type="dxa"/>
              <w:end w:w="120" w:type="dxa"/>
            </w:tcMar>
            <w:shd w:fill="FFF7E6"/>
          </w:tcPr>
          <w:p>
            <w:pPr>
              <w:spacing w:after="40"/>
            </w:pPr>
            <w:r>
              <w:rPr>
                <w:rFonts w:ascii="Arial Unicode MS" w:hAnsi="Arial Unicode MS" w:eastAsia="Arial Unicode MS"/>
                <w:b/>
                <w:color w:val="1F4D78"/>
                <w:sz w:val="20"/>
              </w:rPr>
              <w:t>发布建议</w:t>
            </w:r>
          </w:p>
          <w:p>
            <w:pPr>
              <w:spacing w:after="0"/>
            </w:pPr>
            <w:r>
              <w:rPr>
                <w:rFonts w:ascii="Arial Unicode MS" w:hAnsi="Arial Unicode MS" w:eastAsia="Arial Unicode MS"/>
                <w:color w:val="202A35"/>
                <w:sz w:val="21"/>
              </w:rPr>
              <w:t>允许进入受控博士后演示与 12 组匿名盲评；暂不宣称“绝对安全”、论文级自主研究或 Alpha v0.2 正式生产发布。</w:t>
            </w:r>
          </w:p>
        </w:tc>
      </w:tr>
    </w:tbl>
    <w:p>
      <w:pPr>
        <w:spacing w:after="20"/>
      </w:pPr>
    </w:p>
    <w:p>
      <w:pPr>
        <w:pStyle w:val="Heading1"/>
      </w:pPr>
      <w:r>
        <w:t>11. 下一阶段路线</w:t>
      </w:r>
    </w:p>
    <w:p>
      <w:pPr>
        <w:pStyle w:val="ListNumber"/>
      </w:pPr>
      <w:r>
        <w:rPr>
          <w:rFonts w:ascii="Arial Unicode MS" w:hAnsi="Arial Unicode MS" w:eastAsia="Arial Unicode MS"/>
        </w:rPr>
        <w:t>在 Python 3.11 fresh checkout 和 CI 中重跑完整门，并修复本地 provenance 表迁移。</w:t>
      </w:r>
    </w:p>
    <w:p>
      <w:pPr>
        <w:pStyle w:val="ListNumber"/>
      </w:pPr>
      <w:r>
        <w:rPr>
          <w:rFonts w:ascii="Arial Unicode MS" w:hAnsi="Arial Unicode MS" w:eastAsia="Arial Unicode MS"/>
        </w:rPr>
        <w:t>完成博士后 12 组匿名 A/B 盲评：严重科学错误 0，至少 10/12 可作为研究起点，至少 8/12 优先选择 Standard Astro；系统侧材料必须取自模型在回路的真实对话（自然措辞矩阵口径），不得使用确定性重放。</w:t>
      </w:r>
    </w:p>
    <w:p>
      <w:pPr>
        <w:pStyle w:val="ListNumber"/>
      </w:pPr>
      <w:r>
        <w:rPr>
          <w:rFonts w:ascii="Arial Unicode MS" w:hAnsi="Arial Unicode MS" w:eastAsia="Arial Unicode MS"/>
        </w:rPr>
        <w:t>依据自然措辞矩阵的逐样本结果，修复轻量解析在自然问法下的输入提取缺口与由此产生的正当答案误杀，再复跑该矩阵验证。</w:t>
      </w:r>
    </w:p>
    <w:p>
      <w:pPr>
        <w:pStyle w:val="ListNumber"/>
      </w:pPr>
      <w:r>
        <w:rPr>
          <w:rFonts w:ascii="Arial Unicode MS" w:hAnsi="Arial Unicode MS" w:eastAsia="Arial Unicode MS"/>
        </w:rPr>
        <w:t>把 8 个实验压缩为 20–30 分钟演示叙事，现场只演示 1、2、6、8，实验 7 作为能力边界备用；演示措辞采用自然问法而非规范语言。</w:t>
      </w:r>
    </w:p>
    <w:p>
      <w:pPr>
        <w:pStyle w:val="ListNumber"/>
      </w:pPr>
      <w:r>
        <w:rPr>
          <w:rFonts w:ascii="Arial Unicode MS" w:hAnsi="Arial Unicode MS" w:eastAsia="Arial Unicode MS"/>
        </w:rPr>
        <w:t>功能开关开启后观察 72 小时路由、来源超时、disposition 与逃逸指标。</w:t>
      </w:r>
    </w:p>
    <w:p>
      <w:pPr>
        <w:pStyle w:val="ListNumber"/>
      </w:pPr>
      <w:r>
        <w:rPr>
          <w:rFonts w:ascii="Arial Unicode MS" w:hAnsi="Arial Unicode MS" w:eastAsia="Arial Unicode MS"/>
        </w:rPr>
        <w:t>v0.3 只为 BAO、H₀、SNe 覆盖与 CMB compressed likelihood 增加少量方法适用性凭证。</w:t>
      </w:r>
    </w:p>
    <w:p>
      <w:pPr>
        <w:pStyle w:val="Heading1"/>
      </w:pPr>
      <w:r>
        <w:t>参考资料与审计证据</w:t>
      </w:r>
    </w:p>
    <w:p>
      <w:pPr>
        <w:ind w:left="317" w:hanging="317"/>
      </w:pPr>
      <w:r>
        <w:rPr>
          <w:rFonts w:ascii="Arial Unicode MS" w:hAnsi="Arial Unicode MS" w:eastAsia="Arial Unicode MS"/>
          <w:sz w:val="18"/>
        </w:rPr>
        <w:t>[1] Standard Astro repository: README, ARCHITECTURE, source mapping, and checked-in v0.2 implementation.</w:t>
      </w:r>
      <w:r>
        <w:rPr>
          <w:rFonts w:ascii="Arial Unicode MS" w:hAnsi="Arial Unicode MS" w:eastAsia="Arial Unicode MS"/>
          <w:color w:val="2E74B5"/>
          <w:sz w:val="17"/>
        </w:rPr>
        <w:t xml:space="preserve">  README.md；ARCHITECTURE.md（本地仓库文件）</w:t>
      </w:r>
    </w:p>
    <w:p>
      <w:pPr>
        <w:ind w:left="317" w:hanging="317"/>
      </w:pPr>
      <w:r>
        <w:rPr>
          <w:rFonts w:ascii="Arial Unicode MS" w:hAnsi="Arial Unicode MS" w:eastAsia="Arial Unicode MS"/>
          <w:sz w:val="18"/>
        </w:rPr>
        <w:t>[2] Standard Astro v0.2 preregistered task specification (version-controlled JSON, frozen 2026-08-04).</w:t>
      </w:r>
      <w:r>
        <w:rPr>
          <w:rFonts w:ascii="Arial Unicode MS" w:hAnsi="Arial Unicode MS" w:eastAsia="Arial Unicode MS"/>
          <w:color w:val="2E74B5"/>
          <w:sz w:val="17"/>
        </w:rPr>
        <w:t xml:space="preserve">  docs/research/standard_astro_v02_preregistered_tasks.json</w:t>
      </w:r>
    </w:p>
    <w:p>
      <w:pPr>
        <w:ind w:left="317" w:hanging="317"/>
      </w:pPr>
      <w:r>
        <w:rPr>
          <w:rFonts w:ascii="Arial Unicode MS" w:hAnsi="Arial Unicode MS" w:eastAsia="Arial Unicode MS"/>
          <w:sz w:val="18"/>
        </w:rPr>
        <w:t>[3] Standard Astro v0.2 natural-phrasing preregistration: identical ground truths, prompts rewritten in user voice, llm_calls stratification analysis plan (frozen 2026-08-06).</w:t>
      </w:r>
      <w:r>
        <w:rPr>
          <w:rFonts w:ascii="Arial Unicode MS" w:hAnsi="Arial Unicode MS" w:eastAsia="Arial Unicode MS"/>
          <w:color w:val="2E74B5"/>
          <w:sz w:val="17"/>
        </w:rPr>
        <w:t xml:space="preserve">  docs/research/standard_astro_v02_natural_preregistered_tasks.json</w:t>
      </w:r>
    </w:p>
    <w:p>
      <w:pPr>
        <w:ind w:left="317" w:hanging="317"/>
      </w:pPr>
      <w:r>
        <w:rPr>
          <w:rFonts w:ascii="Arial Unicode MS" w:hAnsi="Arial Unicode MS" w:eastAsia="Arial Unicode MS"/>
          <w:sz w:val="18"/>
        </w:rPr>
        <w:t>[4] Standard Astro v0.2 deterministic 240-sample score audit (spec-language matrix).</w:t>
      </w:r>
      <w:r>
        <w:rPr>
          <w:rFonts w:ascii="Arial Unicode MS" w:hAnsi="Arial Unicode MS" w:eastAsia="Arial Unicode MS"/>
          <w:color w:val="2E74B5"/>
          <w:sz w:val="17"/>
        </w:rPr>
        <w:t xml:space="preserve">  docs/research/assets/standard_astro_v02_scores.csv</w:t>
      </w:r>
    </w:p>
    <w:p>
      <w:pPr>
        <w:ind w:left="317" w:hanging="317"/>
      </w:pPr>
      <w:r>
        <w:rPr>
          <w:rFonts w:ascii="Arial Unicode MS" w:hAnsi="Arial Unicode MS" w:eastAsia="Arial Unicode MS"/>
          <w:sz w:val="18"/>
        </w:rPr>
        <w:t>[5] Standard Astro v0.2 evaluation summary and release checks (spec-language matrix).</w:t>
      </w:r>
      <w:r>
        <w:rPr>
          <w:rFonts w:ascii="Arial Unicode MS" w:hAnsi="Arial Unicode MS" w:eastAsia="Arial Unicode MS"/>
          <w:color w:val="2E74B5"/>
          <w:sz w:val="17"/>
        </w:rPr>
        <w:t xml:space="preserve">  docs/research/assets/standard_astro_v02_summary.json</w:t>
      </w:r>
    </w:p>
    <w:p>
      <w:pPr>
        <w:ind w:left="317" w:hanging="317"/>
      </w:pPr>
      <w:r>
        <w:rPr>
          <w:rFonts w:ascii="Arial Unicode MS" w:hAnsi="Arial Unicode MS" w:eastAsia="Arial Unicode MS"/>
          <w:sz w:val="18"/>
        </w:rPr>
        <w:t>[6] Standard Astro v0.2 natural-phrasing 240-sample score audit with per-sample llm_calls and stratum labels.</w:t>
      </w:r>
      <w:r>
        <w:rPr>
          <w:rFonts w:ascii="Arial Unicode MS" w:hAnsi="Arial Unicode MS" w:eastAsia="Arial Unicode MS"/>
          <w:color w:val="2E74B5"/>
          <w:sz w:val="17"/>
        </w:rPr>
        <w:t xml:space="preserve">  docs/research/assets/standard_astro_v02_natural_scores.csv</w:t>
      </w:r>
    </w:p>
    <w:p>
      <w:pPr>
        <w:ind w:left="317" w:hanging="317"/>
      </w:pPr>
      <w:r>
        <w:rPr>
          <w:rFonts w:ascii="Arial Unicode MS" w:hAnsi="Arial Unicode MS" w:eastAsia="Arial Unicode MS"/>
          <w:sz w:val="18"/>
        </w:rPr>
        <w:t>[7] Standard Astro v0.2 natural-phrasing evaluation summary: strata, routing/disposition match, hard escapes.</w:t>
      </w:r>
      <w:r>
        <w:rPr>
          <w:rFonts w:ascii="Arial Unicode MS" w:hAnsi="Arial Unicode MS" w:eastAsia="Arial Unicode MS"/>
          <w:color w:val="2E74B5"/>
          <w:sz w:val="17"/>
        </w:rPr>
        <w:t xml:space="preserve">  docs/research/assets/standard_astro_v02_natural_summary.json</w:t>
      </w:r>
    </w:p>
    <w:p>
      <w:pPr>
        <w:ind w:left="317" w:hanging="317"/>
      </w:pPr>
      <w:r>
        <w:rPr>
          <w:rFonts w:ascii="Arial Unicode MS" w:hAnsi="Arial Unicode MS" w:eastAsia="Arial Unicode MS"/>
          <w:sz w:val="18"/>
        </w:rPr>
        <w:t>[8] Standard Astro cosmology B/C/F strict blind-test summary, executed 2026-08-05.</w:t>
      </w:r>
      <w:r>
        <w:rPr>
          <w:rFonts w:ascii="Arial Unicode MS" w:hAnsi="Arial Unicode MS" w:eastAsia="Arial Unicode MS"/>
          <w:color w:val="2E74B5"/>
          <w:sz w:val="17"/>
        </w:rPr>
        <w:t xml:space="preserve">  evidence/strict_blind_test_summary.md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Arial Unicode MS" w:hAnsi="Arial Unicode MS" w:eastAsia="Arial Unicode MS"/>
        <w:color w:val="6B7280"/>
        <w:sz w:val="17"/>
      </w:rPr>
      <w:t xml:space="preserve">Standard Astro v0.2 · 2026-08-05  |  Page </w:t>
    </w:r>
    <w:r>
      <w:rPr>
        <w:rFonts w:ascii="Arial Unicode MS" w:hAnsi="Arial Unicode MS" w:eastAsia="Arial Unicode MS"/>
        <w:color w:val="6B7280"/>
        <w:sz w:val="17"/>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Unicode MS" w:hAnsi="Arial Unicode MS" w:eastAsia="Arial Unicode MS"/>
        <w:b/>
        <w:color w:val="6B7280"/>
        <w:sz w:val="17"/>
      </w:rPr>
      <w:t>Standard Astro v0.2 · 总体技术报告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Arial Unicode MS" w:hAnsi="Arial Unicode MS" w:eastAsia="Arial Unicode MS"/>
      <w:color w:val="202A3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Unicode MS" w:hAnsi="Arial Unicode MS" w:eastAsia="Arial Unicode MS"/>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Unicode MS" w:hAnsi="Arial Unicode MS" w:eastAsia="Arial Unicode MS"/>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Arial Unicode MS" w:hAnsi="Arial Unicode MS" w:eastAsia="Arial Unicode MS"/>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Arial Unicode MS" w:hAnsi="Arial Unicode MS" w:eastAsia="Arial Unicode MS"/>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