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60" w:after="280"/>
        <w:jc w:val="center"/>
      </w:pPr>
      <w:r>
        <w:rPr>
          <w:rFonts w:ascii="Arial Unicode MS" w:hAnsi="Arial Unicode MS" w:eastAsia="Arial Unicode MS"/>
          <w:b/>
          <w:color w:val="B9852B"/>
          <w:sz w:val="20"/>
        </w:rPr>
        <w:t>STANDARD ASTRO · TECHNICAL REPORT SERIES</w:t>
      </w:r>
    </w:p>
    <w:p>
      <w:pPr>
        <w:spacing w:after="200"/>
        <w:jc w:val="center"/>
      </w:pPr>
      <w:r>
        <w:rPr>
          <w:rFonts w:ascii="Arial Unicode MS" w:hAnsi="Arial Unicode MS" w:eastAsia="Arial Unicode MS"/>
          <w:b/>
          <w:color w:val="17365D"/>
          <w:sz w:val="56"/>
        </w:rPr>
        <w:t>实验 6：Pantheon+ 在 z=12 的覆盖范围与模型外推边界</w:t>
      </w:r>
    </w:p>
    <w:p>
      <w:pPr>
        <w:spacing w:after="160"/>
        <w:jc w:val="center"/>
      </w:pPr>
      <w:r>
        <w:rPr>
          <w:rFonts w:ascii="Arial Unicode MS" w:hAnsi="Arial Unicode MS" w:eastAsia="Arial Unicode MS"/>
          <w:color w:val="1F4D78"/>
          <w:sz w:val="28"/>
        </w:rPr>
        <w:t>预注册观测宇宙学 A/B 测试详细报告</w:t>
      </w:r>
    </w:p>
    <w:p>
      <w:pPr>
        <w:spacing w:after="680"/>
        <w:jc w:val="center"/>
      </w:pPr>
      <w:r>
        <w:rPr>
          <w:rFonts w:ascii="Arial Unicode MS" w:hAnsi="Arial Unicode MS" w:eastAsia="Arial Unicode MS"/>
          <w:i/>
          <w:color w:val="6B7280"/>
          <w:sz w:val="22"/>
        </w:rPr>
        <w:t>Pantheon+ Coverage at z=12 and the Boundary between Measurement and Extrapolation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E8EEF5"/>
          <w:left w:val="single" w:sz="2" w:space="0" w:color="E8EEF5"/>
          <w:bottom w:val="single" w:sz="2" w:space="0" w:color="E8EEF5"/>
          <w:right w:val="single" w:sz="2" w:space="0" w:color="E8EEF5"/>
          <w:insideH w:val="single" w:sz="2" w:space="0" w:color="E8EEF5"/>
          <w:insideV w:val="single" w:sz="2" w:space="0" w:color="E8EEF5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核心结论 / Main conclusion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02A35"/>
                <w:sz w:val="21"/>
              </w:rPr>
              <w:t>规范措辞矩阵 30 样本：裸模型 34/180（18.9%）；Standard Astro 180/180——系统侧由确定性路径应答（模型不在回路），属管道自检口径。自然措辞矩阵 30 样本：裸模型 27.2%，系统混合 100.0%（确定性 0/模型参与 15）。规范矩阵系统路线为 general，终态为 limited。</w:t>
            </w:r>
          </w:p>
        </w:tc>
      </w:tr>
    </w:tbl>
    <w:p>
      <w:pPr>
        <w:spacing w:after="20"/>
      </w:pPr>
    </w:p>
    <w:p>
      <w:pPr>
        <w:spacing w:before="720"/>
        <w:jc w:val="center"/>
      </w:pPr>
      <w:r>
        <w:rPr>
          <w:rFonts w:ascii="Arial Unicode MS" w:hAnsi="Arial Unicode MS" w:eastAsia="Arial Unicode MS"/>
          <w:b/>
          <w:color w:val="6B7280"/>
          <w:sz w:val="19"/>
        </w:rPr>
        <w:t xml:space="preserve">报告编号: </w:t>
      </w:r>
      <w:r>
        <w:rPr>
          <w:rFonts w:ascii="Arial Unicode MS" w:hAnsi="Arial Unicode MS" w:eastAsia="Arial Unicode MS"/>
          <w:color w:val="6B7280"/>
          <w:sz w:val="19"/>
        </w:rPr>
        <w:t xml:space="preserve">SA-V02-EXP-006    </w:t>
      </w:r>
      <w:r>
        <w:rPr>
          <w:rFonts w:ascii="Arial Unicode MS" w:hAnsi="Arial Unicode MS" w:eastAsia="Arial Unicode MS"/>
          <w:b/>
          <w:color w:val="6B7280"/>
          <w:sz w:val="19"/>
        </w:rPr>
        <w:t xml:space="preserve">版本: </w:t>
      </w:r>
      <w:r>
        <w:rPr>
          <w:rFonts w:ascii="Arial Unicode MS" w:hAnsi="Arial Unicode MS" w:eastAsia="Arial Unicode MS"/>
          <w:color w:val="6B7280"/>
          <w:sz w:val="19"/>
        </w:rPr>
        <w:t xml:space="preserve">1.1    </w:t>
      </w:r>
      <w:r>
        <w:rPr>
          <w:rFonts w:ascii="Arial Unicode MS" w:hAnsi="Arial Unicode MS" w:eastAsia="Arial Unicode MS"/>
          <w:b/>
          <w:color w:val="6B7280"/>
          <w:sz w:val="19"/>
        </w:rPr>
        <w:t xml:space="preserve">日期: </w:t>
      </w:r>
      <w:r>
        <w:rPr>
          <w:rFonts w:ascii="Arial Unicode MS" w:hAnsi="Arial Unicode MS" w:eastAsia="Arial Unicode MS"/>
          <w:color w:val="6B7280"/>
          <w:sz w:val="19"/>
        </w:rPr>
        <w:t xml:space="preserve">2026-08-06    </w:t>
      </w:r>
      <w:r>
        <w:rPr>
          <w:rFonts w:ascii="Arial Unicode MS" w:hAnsi="Arial Unicode MS" w:eastAsia="Arial Unicode MS"/>
          <w:b/>
          <w:color w:val="6B7280"/>
          <w:sz w:val="19"/>
        </w:rPr>
        <w:t xml:space="preserve">状态: </w:t>
      </w:r>
      <w:r>
        <w:rPr>
          <w:rFonts w:ascii="Arial Unicode MS" w:hAnsi="Arial Unicode MS" w:eastAsia="Arial Unicode MS"/>
          <w:color w:val="6B7280"/>
          <w:sz w:val="19"/>
        </w:rPr>
        <w:t xml:space="preserve">专家评审稿 / Draft for Expert Review    </w:t>
      </w:r>
    </w:p>
    <w:p>
      <w:r>
        <w:br w:type="page"/>
      </w:r>
    </w:p>
    <w:p>
      <w:pPr>
        <w:pStyle w:val="Heading1"/>
      </w:pPr>
      <w:r>
        <w:t>文档控制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字段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报告编号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SA-V02-EXP-006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版本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1.1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发布日期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2026-08-06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状态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专家评审稿 / Draft for Expert Review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统计基线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5 模型 × 2 条件 × 8 任务 × 3 次重复 = 240 个正式样本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适用范围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预注册任务 V02_06_pantheon_z12 的科学背景、输入、计算、两轮 60 样本结果、路由/凭证与结论边界。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独立复核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博士后 12 组匿名 A/B 盲评尚未完成</w:t>
            </w:r>
          </w:p>
        </w:tc>
      </w:tr>
    </w:tbl>
    <w:p>
      <w:pPr>
        <w:spacing w:after="20"/>
      </w:pPr>
    </w:p>
    <w:p>
      <w:pPr>
        <w:pStyle w:val="Heading1"/>
      </w:pPr>
      <w:r>
        <w:t>摘要</w:t>
      </w:r>
    </w:p>
    <w:p>
      <w:r>
        <w:rPr>
          <w:rFonts w:ascii="Arial Unicode MS" w:hAnsi="Arial Unicode MS" w:eastAsia="Arial Unicode MS"/>
        </w:rPr>
        <w:t>Pantheon+ 的观测范围最高约 z=2.26；系统必须说明 z=12 没有 Pantheon+ 测量，同时保留模型外推的定性解释。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2F4F7"/>
          <w:left w:val="single" w:sz="2" w:space="0" w:color="F2F4F7"/>
          <w:bottom w:val="single" w:sz="2" w:space="0" w:color="F2F4F7"/>
          <w:right w:val="single" w:sz="2" w:space="0" w:color="F2F4F7"/>
          <w:insideH w:val="single" w:sz="2" w:space="0" w:color="F2F4F7"/>
          <w:insideV w:val="single" w:sz="2" w:space="0" w:color="F2F4F7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实验结论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02A35"/>
                <w:sz w:val="21"/>
              </w:rPr>
              <w:t>规范措辞矩阵中 Standard Astro 的 15 个系统确定性样本（模型不在回路）全部满足冻结六维自动审计——该结果证明确定性管道与审计规则在本任务上自洽，不构成模型行为证据；模型在回路的表现见第 7 节自然措辞对照。两者均只适用于本任务，不应外推为普遍科学正确率。</w:t>
            </w:r>
          </w:p>
        </w:tc>
      </w:tr>
    </w:tbl>
    <w:p>
      <w:pPr>
        <w:spacing w:after="20"/>
      </w:pPr>
    </w:p>
    <w:p>
      <w:pPr>
        <w:pStyle w:val="Heading2"/>
      </w:pPr>
      <w:r>
        <w:t>English abstract</w:t>
      </w:r>
    </w:p>
    <w:p>
      <w:r>
        <w:rPr>
          <w:rFonts w:ascii="Arial Unicode MS" w:hAnsi="Arial Unicode MS" w:eastAsia="Arial Unicode MS"/>
        </w:rPr>
        <w:t>Pantheon+ contains observed supernova information only to approximately z=2.26, so z=12 is outside its coverage. Standard Astro issued a verified-registry coverage receipt, kept the response useful with a limited disposition, and prevented any model extrapolation from being attributed to the dataset as a measurement.</w:t>
      </w:r>
    </w:p>
    <w:p>
      <w:pPr>
        <w:pStyle w:val="Heading1"/>
      </w:pPr>
      <w:r>
        <w:t>1. 科学背景与研究问题</w:t>
      </w:r>
    </w:p>
    <w:p>
      <w:r>
        <w:rPr>
          <w:rFonts w:ascii="Arial Unicode MS" w:hAnsi="Arial Unicode MS" w:eastAsia="Arial Unicode MS"/>
        </w:rPr>
        <w:t>Pantheon+ 汇集 1550 个 Ia 型超新星、1701 条光变曲线，用标准化蜡烛研究晚期宇宙距离—红移关系。其公开样本延伸到约 z=2.26，而 z=12 属于远早于该样本覆盖的宇宙时期。</w:t>
      </w:r>
    </w:p>
    <w:p>
      <w:r>
        <w:rPr>
          <w:rFonts w:ascii="Arial Unicode MS" w:hAnsi="Arial Unicode MS" w:eastAsia="Arial Unicode MS"/>
        </w:rPr>
        <w:t>在 z=12 计算 ΛCDM 或其他模型的 luminosity distance 是模型预测；它不能被归因于 Pantheon+ 观测。正确系统既不能洗白外推，也不应一刀切拒绝所有解释。</w:t>
      </w:r>
    </w:p>
    <w:p>
      <w:r>
        <w:rPr>
          <w:rFonts w:ascii="Arial Unicode MS" w:hAnsi="Arial Unicode MS" w:eastAsia="Arial Unicode MS"/>
        </w:rPr>
        <w:t>预注册问题（规范措辞）：Using the registered Pantheon+ coverage, report whether luminosity distance at z=12 is an observed Pantheon+ measurement. If a cosmological model can extrapolate there, clearly separate model extrapolation from measurement and do not hard-block the qualitative answer.</w:t>
      </w:r>
    </w:p>
    <w:p>
      <w:r>
        <w:rPr>
          <w:rFonts w:ascii="Arial Unicode MS" w:hAnsi="Arial Unicode MS" w:eastAsia="Arial Unicode MS"/>
        </w:rPr>
        <w:t>自然措辞版（2026-08-06 冻结，标准答案不变）：Does Pantheon+ give me a luminosity distance at z = 12? I want to compare against a high-z JWST object. If that's not something Pantheon+ actually measured, can I still get some number there to compare with?</w:t>
      </w:r>
    </w:p>
    <w:p>
      <w:pPr>
        <w:pStyle w:val="Heading1"/>
      </w:pPr>
      <w:r>
        <w:t>2. 来源、输入与基准</w:t>
      </w:r>
    </w:p>
    <w:p>
      <w:r>
        <w:rPr>
          <w:rFonts w:ascii="Arial Unicode MS" w:hAnsi="Arial Unicode MS" w:eastAsia="Arial Unicode MS"/>
        </w:rPr>
        <w:t>主要来源：Pantheon+ registered coverage, z≈0.00122–2.26137; official data release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500"/>
        <w:gridCol w:w="3350"/>
        <w:gridCol w:w="351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输入量/状态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数值或要求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来源定位/说明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请求红移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z=12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用户问题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Pantheon+ z_min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约 0.00122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注册表/数据产品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Pantheon+ z_max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约 2.26137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注册表/数据产品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4E7EB"/>
          <w:left w:val="single" w:sz="4" w:space="0" w:color="E4E7EB"/>
          <w:bottom w:val="single" w:sz="4" w:space="0" w:color="E4E7EB"/>
          <w:right w:val="single" w:sz="4" w:space="0" w:color="E4E7EB"/>
          <w:insideH w:val="single" w:sz="4" w:space="0" w:color="E4E7EB"/>
          <w:insideV w:val="single" w:sz="4" w:space="0" w:color="E4E7EB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  <w:jc w:val="center"/>
            </w:pPr>
            <w:r>
              <w:rPr>
                <w:rFonts w:ascii="Cambria Math" w:hAnsi="Cambria Math" w:eastAsia="Arial Unicode MS"/>
                <w:sz w:val="20"/>
              </w:rPr>
              <w:t>coverage_status = outside，因为 12 &gt; 2.26137。</w:t>
            </w:r>
          </w:p>
        </w:tc>
      </w:t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  <w:jc w:val="center"/>
            </w:pPr>
            <w:r>
              <w:rPr>
                <w:rFonts w:ascii="Cambria Math" w:hAnsi="Cambria Math" w:eastAsia="Arial Unicode MS"/>
                <w:sz w:val="20"/>
              </w:rPr>
              <w:t>可保留的陈述：模型可在指定参数下外推。</w:t>
            </w:r>
          </w:p>
        </w:tc>
      </w:t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  <w:jc w:val="center"/>
            </w:pPr>
            <w:r>
              <w:rPr>
                <w:rFonts w:ascii="Cambria Math" w:hAnsi="Cambria Math" w:eastAsia="Arial Unicode MS"/>
                <w:sz w:val="20"/>
              </w:rPr>
              <w:t>禁止的陈述：Pantheon+ 在 z=12 测得某 luminosity distance。</w:t>
            </w:r>
          </w:p>
        </w:tc>
      </w:tr>
    </w:tbl>
    <w:p>
      <w:pPr>
        <w:spacing w:after="20"/>
      </w:pPr>
    </w:p>
    <w:p>
      <w:pPr>
        <w:pStyle w:val="Heading1"/>
      </w:pPr>
      <w:r>
        <w:t>3. 预注册验收标准</w:t>
      </w:r>
    </w:p>
    <w:p>
      <w:pPr>
        <w:pStyle w:val="ListNumber"/>
      </w:pPr>
      <w:r>
        <w:rPr>
          <w:rFonts w:ascii="Arial Unicode MS" w:hAnsi="Arial Unicode MS" w:eastAsia="Arial Unicode MS"/>
        </w:rPr>
        <w:t>必须报告 z=12 位于数据覆盖外。</w:t>
      </w:r>
    </w:p>
    <w:p>
      <w:pPr>
        <w:pStyle w:val="ListNumber"/>
      </w:pPr>
      <w:r>
        <w:rPr>
          <w:rFonts w:ascii="Arial Unicode MS" w:hAnsi="Arial Unicode MS" w:eastAsia="Arial Unicode MS"/>
        </w:rPr>
        <w:t>必须明确区分 model extrapolation 与 observed measurement。</w:t>
      </w:r>
    </w:p>
    <w:p>
      <w:pPr>
        <w:pStyle w:val="ListNumber"/>
      </w:pPr>
      <w:r>
        <w:rPr>
          <w:rFonts w:ascii="Arial Unicode MS" w:hAnsi="Arial Unicode MS" w:eastAsia="Arial Unicode MS"/>
        </w:rPr>
        <w:t>状态必须为 limited，不得 hard block。</w:t>
      </w:r>
    </w:p>
    <w:p>
      <w:pPr>
        <w:pStyle w:val="ListNumber"/>
      </w:pPr>
      <w:r>
        <w:rPr>
          <w:rFonts w:ascii="Arial Unicode MS" w:hAnsi="Arial Unicode MS" w:eastAsia="Arial Unicode MS"/>
        </w:rPr>
        <w:t>必须生成 verified_registry 的 dataset_coverage 后端凭证。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控制字段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预期值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task_kind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general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response_disposition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limited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系统来源状态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verified_registry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后端证据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dataset_coverage 凭证：数据集版本、z_min/z_max、产品哈希和固定边界说明。</w:t>
            </w:r>
          </w:p>
        </w:tc>
      </w:tr>
    </w:tbl>
    <w:p>
      <w:pPr>
        <w:spacing w:after="20"/>
      </w:pPr>
    </w:p>
    <w:p>
      <w:pPr>
        <w:pStyle w:val="Heading1"/>
      </w:pPr>
      <w:r>
        <w:t>4. 实验设计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项目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设置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基础模型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GPT-5.6 Sol、Terra、Luna；Claude Fable 5；Kimi K3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条件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裸模型闭卷 vs. Standard Astro 完整系统路径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重复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每个模型、每个条件重复 3 次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本实验样本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规范措辞矩阵 5 × 2 × 3 = 30；自然措辞矩阵同构 30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评分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6 维 × 0–2 分；每个样本满分 12；每种条件满分 180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矩阵口径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规范矩阵系统侧由确定性路径应答（模型不在回路）；自然矩阵逐样本记录 llm_calls 并分层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自动评分性质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读取回答、路由状态与后端凭证；不是专家科学评审</w:t>
            </w:r>
          </w:p>
        </w:tc>
      </w:tr>
    </w:tbl>
    <w:p>
      <w:pPr>
        <w:spacing w:after="20"/>
      </w:pPr>
    </w:p>
    <w:p>
      <w:pPr>
        <w:pStyle w:val="Heading1"/>
      </w:pPr>
      <w:r>
        <w:t>5. 测试结果（规范措辞矩阵）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850"/>
        <w:gridCol w:w="1300"/>
        <w:gridCol w:w="1500"/>
        <w:gridCol w:w="1500"/>
        <w:gridCol w:w="2210"/>
      </w:tblGrid>
      <w:tr>
        <w:trPr>
          <w:tblHeader w:val="true"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条件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样本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得分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满分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得分率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裸模型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34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180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18.9%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Standard Astro（确定性路径）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180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180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900"/>
        <w:gridCol w:w="1500"/>
        <w:gridCol w:w="1500"/>
        <w:gridCol w:w="1500"/>
        <w:gridCol w:w="1960"/>
      </w:tblGrid>
      <w:tr>
        <w:trPr>
          <w:tblHeader w:val="true"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模型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裸分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裸率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系统分（确定性）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系统率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GPT-5.6 Sol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7/36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19.4%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36/36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GPT-5.6 Terra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5/36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13.9%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36/36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GPT-5.6 Luna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6/36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16.7%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36/36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Claude Fable 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9/36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25.0%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36/36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Kimi K3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7/36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19.4%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36/36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</w:tbl>
    <w:p>
      <w:pPr>
        <w:spacing w:after="20"/>
      </w:pPr>
    </w:p>
    <w:p>
      <w:r>
        <w:rPr>
          <w:rFonts w:ascii="Arial Unicode MS" w:hAnsi="Arial Unicode MS" w:eastAsia="Arial Unicode MS"/>
        </w:rPr>
        <w:t>系统列五个模型完全相同是构造使然：该条件由同一段确定性代码应答，模型不在回路，系统列不构成逐模型行为数据。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407664"/>
            <wp:docPr id="1" name="Picture 1" descr="图 6. 五个模型在实验 6 两种条件下的得分率（系统柱为确定性路径自检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iment_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07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Arial Unicode MS" w:hAnsi="Arial Unicode MS" w:eastAsia="Arial Unicode MS"/>
          <w:i/>
          <w:color w:val="6B7280"/>
          <w:sz w:val="18"/>
        </w:rPr>
        <w:t>图 6. 五个模型在实验 6 两种条件下的得分率（系统柱为确定性路径自检）。</w:t>
      </w:r>
    </w:p>
    <w:p>
      <w:pPr>
        <w:pStyle w:val="Heading1"/>
      </w:pPr>
      <w:r>
        <w:t>6. 系统行为审计（规范矩阵）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审计项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15 个 Standard Astro 样本的观察结果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任务路由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general: 15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响应终态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limited: 15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来源状态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verified_registry: 15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系统延迟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P50=0.009s；max=0.032s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模型参与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本轮未记录 llm_calls；依据耗时特征（毫秒级或跨模型恒定）判定为确定性路径应答，模型不在回路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关键逃逸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0</w:t>
            </w:r>
          </w:p>
        </w:tc>
      </w:tr>
    </w:tbl>
    <w:p>
      <w:pPr>
        <w:spacing w:after="20"/>
      </w:pPr>
    </w:p>
    <w:p>
      <w:r>
        <w:rPr>
          <w:rFonts w:ascii="Arial Unicode MS" w:hAnsi="Arial Unicode MS" w:eastAsia="Arial Unicode MS"/>
        </w:rPr>
        <w:t>该实验直接检验系统能否把“证据不足”转成有用的有限回答。v0.2 不再把覆盖外请求显示为泛化的 blocked。</w:t>
      </w:r>
    </w:p>
    <w:p>
      <w:pPr>
        <w:pStyle w:val="Heading1"/>
      </w:pPr>
      <w:r>
        <w:t>7. 自然措辞矩阵对照（模型在回路口径）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项目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自然措辞矩阵观察结果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裸模型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49/180（27.2%，n=15）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系统（两层混合）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180/180（100.0%，n=15）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系统分层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确定性通道 0 个；模型参与 15 个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系统终态分布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limited×15（预期 limited）</w:t>
            </w:r>
          </w:p>
        </w:tc>
      </w:tr>
    </w:tbl>
    <w:p>
      <w:pPr>
        <w:spacing w:after="20"/>
      </w:pPr>
    </w:p>
    <w:p>
      <w:r>
        <w:rPr>
          <w:rFonts w:ascii="Arial Unicode MS" w:hAnsi="Arial Unicode MS" w:eastAsia="Arial Unicode MS"/>
        </w:rPr>
        <w:t>自然措辞版删除路由暗号后，本任务的路由、输入提取与门禁行为可能与规范矩阵不同；终态偏离预期时，逐样本回复与 llm_calls 记录见自然矩阵评分 CSV。分层与逐模型总体结论见《测试结果综述》第 8 节。</w:t>
      </w:r>
    </w:p>
    <w:p>
      <w:pPr>
        <w:pStyle w:val="Heading1"/>
      </w:pPr>
      <w:r>
        <w:t>8. 结论范围与局限</w:t>
      </w:r>
    </w:p>
    <w:p>
      <w:pPr>
        <w:pStyle w:val="ListBullet"/>
      </w:pPr>
      <w:r>
        <w:rPr>
          <w:rFonts w:ascii="Arial Unicode MS" w:hAnsi="Arial Unicode MS" w:eastAsia="Arial Unicode MS"/>
        </w:rPr>
        <w:t>没有给出任何 z=12 的观测距离。</w:t>
      </w:r>
    </w:p>
    <w:p>
      <w:pPr>
        <w:pStyle w:val="ListBullet"/>
      </w:pPr>
      <w:r>
        <w:rPr>
          <w:rFonts w:ascii="Arial Unicode MS" w:hAnsi="Arial Unicode MS" w:eastAsia="Arial Unicode MS"/>
        </w:rPr>
        <w:t>若给出模型外推，数值仍依赖模型与参数。</w:t>
      </w:r>
    </w:p>
    <w:p>
      <w:pPr>
        <w:pStyle w:val="ListBullet"/>
      </w:pPr>
      <w:r>
        <w:rPr>
          <w:rFonts w:ascii="Arial Unicode MS" w:hAnsi="Arial Unicode MS" w:eastAsia="Arial Unicode MS"/>
        </w:rPr>
        <w:t>verified_registry 不等同于论文原文逐值 verified_exact。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E8EEF5"/>
          <w:left w:val="single" w:sz="2" w:space="0" w:color="E8EEF5"/>
          <w:bottom w:val="single" w:sz="2" w:space="0" w:color="E8EEF5"/>
          <w:right w:val="single" w:sz="2" w:space="0" w:color="E8EEF5"/>
          <w:insideH w:val="single" w:sz="2" w:space="0" w:color="E8EEF5"/>
          <w:insideV w:val="single" w:sz="2" w:space="0" w:color="E8EEF5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可支持的结论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02A35"/>
                <w:sz w:val="21"/>
              </w:rPr>
              <w:t>规范矩阵中本任务的 15 个系统确定性样本（模型不在回路）满足预注册的路由、终态、来源/证据与六维自动评分要求；该结论描述管道自检，不构成模型行为证据。模型在回路的行为以第 7 节自然矩阵口径为准。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FF7E6"/>
          <w:left w:val="single" w:sz="2" w:space="0" w:color="FFF7E6"/>
          <w:bottom w:val="single" w:sz="2" w:space="0" w:color="FFF7E6"/>
          <w:right w:val="single" w:sz="2" w:space="0" w:color="FFF7E6"/>
          <w:insideH w:val="single" w:sz="2" w:space="0" w:color="FFF7E6"/>
          <w:insideV w:val="single" w:sz="2" w:space="0" w:color="FFF7E6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7E6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不可支持的结论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02A35"/>
                <w:sz w:val="21"/>
              </w:rPr>
              <w:t>不能据此声称系统绝对安全、已经复现整篇论文、方法在所有数据上适用、模型进入系统后能力得到提升，或可替代宇宙学专家评审。</w:t>
            </w:r>
          </w:p>
        </w:tc>
      </w:tr>
    </w:tbl>
    <w:p>
      <w:pPr>
        <w:spacing w:after="20"/>
      </w:pPr>
    </w:p>
    <w:p>
      <w:pPr>
        <w:pStyle w:val="Heading1"/>
      </w:pPr>
      <w:r>
        <w:t>9. 复核清单</w:t>
      </w:r>
    </w:p>
    <w:p>
      <w:pPr>
        <w:pStyle w:val="ListBullet"/>
      </w:pPr>
      <w:r>
        <w:rPr>
          <w:rFonts w:ascii="Arial Unicode MS" w:hAnsi="Arial Unicode MS" w:eastAsia="Arial Unicode MS"/>
        </w:rPr>
        <w:t>核对两版预注册 prompt、ground_truth 与本报告输入完全一致。</w:t>
      </w:r>
    </w:p>
    <w:p>
      <w:pPr>
        <w:pStyle w:val="ListBullet"/>
      </w:pPr>
      <w:r>
        <w:rPr>
          <w:rFonts w:ascii="Arial Unicode MS" w:hAnsi="Arial Unicode MS" w:eastAsia="Arial Unicode MS"/>
        </w:rPr>
        <w:t>从两轮逐样本 CSV 重算本实验 60 行的六维得分。</w:t>
      </w:r>
    </w:p>
    <w:p>
      <w:pPr>
        <w:pStyle w:val="ListBullet"/>
      </w:pPr>
      <w:r>
        <w:rPr>
          <w:rFonts w:ascii="Arial Unicode MS" w:hAnsi="Arial Unicode MS" w:eastAsia="Arial Unicode MS"/>
        </w:rPr>
        <w:t>抽查每个模型至少一组裸模型/Standard Astro 回答（含自然矩阵模型参与样本）。</w:t>
      </w:r>
    </w:p>
    <w:p>
      <w:pPr>
        <w:pStyle w:val="ListBullet"/>
      </w:pPr>
      <w:r>
        <w:rPr>
          <w:rFonts w:ascii="Arial Unicode MS" w:hAnsi="Arial Unicode MS" w:eastAsia="Arial Unicode MS"/>
        </w:rPr>
        <w:t>核对系统路由、disposition、source_status、llm_calls 与凭证哈希。</w:t>
      </w:r>
    </w:p>
    <w:p>
      <w:pPr>
        <w:pStyle w:val="ListBullet"/>
      </w:pPr>
      <w:r>
        <w:rPr>
          <w:rFonts w:ascii="Arial Unicode MS" w:hAnsi="Arial Unicode MS" w:eastAsia="Arial Unicode MS"/>
        </w:rPr>
        <w:t>确认规范矩阵系统侧样本为确定性路径应答，引用时不得作为模型行为证据。</w:t>
      </w:r>
    </w:p>
    <w:p>
      <w:pPr>
        <w:pStyle w:val="ListBullet"/>
      </w:pPr>
      <w:r>
        <w:rPr>
          <w:rFonts w:ascii="Arial Unicode MS" w:hAnsi="Arial Unicode MS" w:eastAsia="Arial Unicode MS"/>
        </w:rPr>
        <w:t>由博士后判断科学解释和方法边界是否需要修改。</w:t>
      </w:r>
    </w:p>
    <w:p>
      <w:pPr>
        <w:pStyle w:val="Heading1"/>
      </w:pPr>
      <w:r>
        <w:t>参考资料与审计证据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[1] Standard Astro v0.2 preregistered task specification (version-controlled JSON, frozen 2026-08-04).</w:t>
      </w:r>
      <w:r>
        <w:rPr>
          <w:rFonts w:ascii="Arial Unicode MS" w:hAnsi="Arial Unicode MS" w:eastAsia="Arial Unicode MS"/>
          <w:color w:val="2E74B5"/>
          <w:sz w:val="17"/>
        </w:rPr>
        <w:t xml:space="preserve">  docs/research/standard_astro_v02_preregistered_tasks.json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[2] Standard Astro v0.2 natural-phrasing preregistration: identical ground truths, prompts rewritten in user voice, llm_calls stratification analysis plan (frozen 2026-08-06).</w:t>
      </w:r>
      <w:r>
        <w:rPr>
          <w:rFonts w:ascii="Arial Unicode MS" w:hAnsi="Arial Unicode MS" w:eastAsia="Arial Unicode MS"/>
          <w:color w:val="2E74B5"/>
          <w:sz w:val="17"/>
        </w:rPr>
        <w:t xml:space="preserve">  docs/research/standard_astro_v02_natural_preregistered_tasks.json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[3] Standard Astro v0.2 deterministic 240-sample score audit (spec-language matrix).</w:t>
      </w:r>
      <w:r>
        <w:rPr>
          <w:rFonts w:ascii="Arial Unicode MS" w:hAnsi="Arial Unicode MS" w:eastAsia="Arial Unicode MS"/>
          <w:color w:val="2E74B5"/>
          <w:sz w:val="17"/>
        </w:rPr>
        <w:t xml:space="preserve">  docs/research/assets/standard_astro_v02_scores.csv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[4] Standard Astro v0.2 evaluation summary and release checks (spec-language matrix).</w:t>
      </w:r>
      <w:r>
        <w:rPr>
          <w:rFonts w:ascii="Arial Unicode MS" w:hAnsi="Arial Unicode MS" w:eastAsia="Arial Unicode MS"/>
          <w:color w:val="2E74B5"/>
          <w:sz w:val="17"/>
        </w:rPr>
        <w:t xml:space="preserve">  docs/research/assets/standard_astro_v02_summary.json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[5] Standard Astro v0.2 natural-phrasing 240-sample score audit with per-sample llm_calls and stratum labels.</w:t>
      </w:r>
      <w:r>
        <w:rPr>
          <w:rFonts w:ascii="Arial Unicode MS" w:hAnsi="Arial Unicode MS" w:eastAsia="Arial Unicode MS"/>
          <w:color w:val="2E74B5"/>
          <w:sz w:val="17"/>
        </w:rPr>
        <w:t xml:space="preserve">  docs/research/assets/standard_astro_v02_natural_scores.csv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[6] Standard Astro v0.2 natural-phrasing evaluation summary: strata, routing/disposition match, hard escapes.</w:t>
      </w:r>
      <w:r>
        <w:rPr>
          <w:rFonts w:ascii="Arial Unicode MS" w:hAnsi="Arial Unicode MS" w:eastAsia="Arial Unicode MS"/>
          <w:color w:val="2E74B5"/>
          <w:sz w:val="17"/>
        </w:rPr>
        <w:t xml:space="preserve">  docs/research/assets/standard_astro_v02_natural_summary.json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[7] Pantheon+SH0ES official results and full data release.</w:t>
      </w:r>
      <w:r>
        <w:rPr>
          <w:rFonts w:ascii="Arial Unicode MS" w:hAnsi="Arial Unicode MS" w:eastAsia="Arial Unicode MS"/>
          <w:color w:val="2E74B5"/>
          <w:sz w:val="17"/>
        </w:rPr>
        <w:t xml:space="preserve">  https://pantheonplussh0es.github.io/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 Unicode MS" w:hAnsi="Arial Unicode MS" w:eastAsia="Arial Unicode MS"/>
        <w:color w:val="6B7280"/>
        <w:sz w:val="17"/>
      </w:rPr>
      <w:t xml:space="preserve">Standard Astro v0.2 · 2026-08-05  |  Page </w:t>
    </w:r>
    <w:r>
      <w:rPr>
        <w:rFonts w:ascii="Arial Unicode MS" w:hAnsi="Arial Unicode MS" w:eastAsia="Arial Unicode MS"/>
        <w:color w:val="6B7280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 Unicode MS" w:hAnsi="Arial Unicode MS" w:eastAsia="Arial Unicode MS"/>
        <w:b/>
        <w:color w:val="6B7280"/>
        <w:sz w:val="17"/>
      </w:rPr>
      <w:t>Standard Astro v0.2 · 实验 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 Unicode MS" w:hAnsi="Arial Unicode MS" w:eastAsia="Arial Unicode MS"/>
      <w:color w:val="202A3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Arial Unicode MS" w:hAnsi="Arial Unicode MS" w:eastAsia="Arial Unicode M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Arial Unicode MS" w:hAnsi="Arial Unicode MS" w:eastAsia="Arial Unicode M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