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previous-counterexamples-to-kalman-hypothesis"/>
      <w:r>
        <w:t xml:space="preserve">Previous counterexamples to Kalman hypothesis</w:t>
      </w:r>
      <w:bookmarkEnd w:id="21"/>
    </w:p>
    <w:p>
      <w:pPr>
        <w:pStyle w:val="Heading1"/>
      </w:pPr>
      <w:bookmarkStart w:id="22" w:name="coexisting-limit-cycles"/>
      <w:r>
        <w:t xml:space="preserve">Coexisting limit cycles</w:t>
      </w:r>
      <w:bookmarkEnd w:id="22"/>
    </w:p>
    <w:p>
      <w:pPr>
        <w:pStyle w:val="Heading1"/>
      </w:pPr>
      <w:bookmarkStart w:id="23" w:name="conclusion"/>
      <w:r>
        <w:t xml:space="preserve">Conclusion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2019-12-25T08:10:11Z</dcterms:created>
  <dcterms:modified xsi:type="dcterms:W3CDTF">2019-12-25T08:10:11Z</dcterms:modified>
</cp:coreProperties>
</file>