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Initialize your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Once this operation is complete, you’ll now have a project structure with the following items: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18097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a file named “myToken.sol” in the contract directory.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SPDX-License-Identifier: GPL-3.0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pragma solidity 0.5.16;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"@openzeppelin/contracts/token/ERC20/IERC20.sol";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contract Mikil is IERC20{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string private _name;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string private _symbol;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uint256 private _decimals;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uint256 private _totalSupply;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mapping (address =&gt; uint) private _balances;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mapping (address =&gt; mapping(address =&gt; uint)) private _allowances;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constructor(){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_name = "Mikil";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_symbol = "MKL";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_decimals = 18;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_totalSupply = 1000000 * 10**_decimals;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_balances[msg.sender] = _totalSupply;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function name() public view returns(string memory){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_name;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function symbol() public view returns(string memory){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_symbol;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function decimals() public view returns(uint256){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_decimals;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function totalSupply() public view returns(uint256){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_totalSupply;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 balanceOf(address account) public view returns(uint256){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_balances[account];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function transfer(address recipient, uint256 amount) public returns(bool){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require(balanceOf(msg.sender) &gt;= amount, "Lack of Funds.");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_balances[msg.sender] -= amount;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_balances[recipient] += amount;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function allowance(address owner, address spender) public view returns(uint256){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_allowances[owner][spender];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function approve(address spender, uint256 amount) public returns(bool){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_allowances[msg.sender][spender] = amount;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function transferFrom(address sender, address recipient, uint256 amount) public returns(bool){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require(_allowances[msg.sender][sender]&gt;=amount);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_balances[sender] -= amount;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_balances[recipient] += amount;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Compile a Truffle project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Create a migration to get the contract on the network. Create a file in the migrations folder named “37_Mikil_migrate_deploy.js”.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485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The ERC20 Token Smart contract will be deployed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