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jc w:val="center"/>
      </w:pPr>
      <w:r>
        <w:rPr>
          <w:b/>
          <w:sz w:val="28"/>
        </w:rPr>
        <w:t>Hybrid Digital Twin for Real-Time Seismic Response Prediction of Reinforced Concrete Buildings</w:t>
      </w:r>
    </w:p>
    <w:p>
      <w:pPr>
        <w:jc w:val="center"/>
      </w:pPr>
      <w:r>
        <w:rPr>
          <w:b/>
          <w:sz w:val="22"/>
        </w:rPr>
        <w:t>Miguel Rivera Ospina</w:t>
      </w:r>
    </w:p>
    <w:p>
      <w:pPr>
        <w:jc w:val="center"/>
      </w:pPr>
      <w:r>
        <w:rPr>
          <w:b w:val="0"/>
          <w:sz w:val="20"/>
        </w:rPr>
        <w:t>Department of Civil Engineering</w:t>
      </w:r>
    </w:p>
    <w:p>
      <w:pPr>
        <w:jc w:val="center"/>
      </w:pPr>
      <w:r>
        <w:rPr>
          <w:b w:val="0"/>
          <w:sz w:val="18"/>
        </w:rPr>
        <w:t>* Corresponding Author: [author email]</w:t>
      </w:r>
    </w:p>
    <w:p>
      <w:pPr>
        <w:jc w:val="center"/>
      </w:pPr>
      <w:r>
        <w:rPr>
          <w:b w:val="0"/>
          <w:sz w:val="16"/>
        </w:rPr>
        <w:t>© 2026 Authors. Open Access under CC BY 4.0.</w:t>
      </w:r>
    </w:p>
    <w:p>
      <w:pPr>
        <w:jc w:val="left"/>
      </w:pPr>
      <w:r>
        <w:rPr>
          <w:b w:val="0"/>
          <w:sz w:val="20"/>
        </w:rPr>
      </w:r>
    </w:p>
    <w:p>
      <w:pPr>
        <w:pStyle w:val="Heading1"/>
      </w:pPr>
      <w:r>
        <w:t xml:space="preserve">Title</w:t>
      </w:r>
    </w:p>
    <w:p>
      <w:pPr>
        <w:pStyle w:val="FirstParagraph"/>
      </w:pPr>
      <w:r>
        <w:rPr>
          <w:b/>
          <w:bCs/>
        </w:rPr>
        <w:t xml:space="preserve">Hybrid Digital Twin for Real-Time Seismic Response Prediction of Reinforced Concrete Buildings</w:t>
      </w:r>
    </w:p>
    <w:p>
      <w:r>
        <w:pict>
          <v:rect style="width:0;height:1.5pt" o:hralign="center" o:hrstd="t" o:hr="t"/>
        </w:pict>
      </w:r>
    </w:p>
    <w:bookmarkEnd w:id="9"/>
    <w:bookmarkStart w:id="10" w:name="authors"/>
    <w:p>
      <w:pPr>
        <w:pStyle w:val="Heading1"/>
      </w:pPr>
      <w:r>
        <w:t xml:space="preserve">Authors</w:t>
      </w:r>
    </w:p>
    <w:p>
      <w:pPr>
        <w:pStyle w:val="FirstParagraph"/>
      </w:pPr>
      <w:r>
        <w:t xml:space="preserve">Miguel Rivera Ospina</w:t>
      </w:r>
      <m:oMath>
        <m:sSup>
          <m:e>
            <m:r>
              <m:t>​</m:t>
            </m:r>
          </m:e>
          <m:sup>
            <m:r>
              <m:t>1</m:t>
            </m:r>
            <m:r>
              <m:rPr>
                <m:sty m:val="p"/>
              </m:rPr>
              <m:t>,</m:t>
            </m:r>
            <m:r>
              <m:rPr>
                <m:sty m:val="p"/>
              </m:rPr>
              <m:t>*</m:t>
            </m:r>
          </m:sup>
        </m:sSup>
      </m:oMath>
    </w:p>
    <w:p>
      <w:pPr>
        <w:pStyle w:val="BodyText"/>
      </w:pPr>
      <m:oMath>
        <m:sSup>
          <m:e>
            <m:r>
              <m:t>​</m:t>
            </m:r>
          </m:e>
          <m:sup>
            <m:r>
              <m:t>1</m:t>
            </m:r>
          </m:sup>
        </m:sSup>
      </m:oMath>
      <w:r>
        <w:t xml:space="preserve"> </w:t>
      </w:r>
      <w:r>
        <w:t xml:space="preserve">Department of Civil Engineering,</w:t>
      </w:r>
      <w:r>
        <w:t xml:space="preserve"> </w:t>
      </w:r>
      <w:r>
        <w:rPr>
          <w:b/>
          <w:bCs/>
        </w:rPr>
        <w:t xml:space="preserve">[YOUR UNIVERSITY]</w:t>
      </w:r>
      <w:r>
        <w:t xml:space="preserve">,</w:t>
      </w:r>
      <w:r>
        <w:t xml:space="preserve"> </w:t>
      </w:r>
      <w:r>
        <w:rPr>
          <w:b/>
          <w:bCs/>
        </w:rPr>
        <w:t xml:space="preserve">[CITY, COUNTRY]</w:t>
      </w:r>
    </w:p>
    <w:p>
      <w:pPr>
        <w:pStyle w:val="BodyText"/>
      </w:pPr>
      <m:oMath>
        <m:sSup>
          <m:e>
            <m:r>
              <m:t>​</m:t>
            </m:r>
          </m:e>
          <m:sup>
            <m:r>
              <m:rPr>
                <m:sty m:val="p"/>
              </m:rPr>
              <m:t>*</m:t>
            </m:r>
          </m:sup>
        </m:sSup>
      </m:oMath>
      <w:r>
        <w:t xml:space="preserve">Corresponding Author:</w:t>
      </w:r>
      <w:r>
        <w:t xml:space="preserve"> </w:t>
      </w:r>
      <w:r>
        <w:rPr>
          <w:b/>
          <w:bCs/>
        </w:rPr>
        <w:t xml:space="preserve">[YOUR EMAIL]</w:t>
      </w:r>
    </w:p>
    <w:p>
      <w:pPr>
        <w:pStyle w:val="BodyText"/>
      </w:pPr>
      <w:r>
        <w:t xml:space="preserve">Copyright © 2026 by authors, all rights reserved. Authors agree that this article remains permanently open access under the terms of the Creative Commons Attribution License 4.0 International License.</w:t>
      </w:r>
    </w:p>
    <w:p>
      <w:r>
        <w:pict>
          <v:rect style="width:0;height:1.5pt" o:hralign="center" o:hrstd="t" o:hr="t"/>
        </w:pict>
      </w:r>
    </w:p>
    <w:bookmarkEnd w:id="10"/>
    <w:bookmarkStart w:id="11" w:name="abstract"/>
    <w:p>
      <w:pPr>
        <w:pStyle w:val="Heading1"/>
      </w:pPr>
      <w:r>
        <w:t xml:space="preserve">Abstract</w:t>
      </w:r>
    </w:p>
    <w:p>
      <w:pPr>
        <w:pStyle w:val="FirstParagraph"/>
      </w:pPr>
      <w:r>
        <w:t xml:space="preserve">Seismic risk assessment of reinforced concrete (RC) buildings requires thousands of</w:t>
      </w:r>
      <w:r>
        <w:t xml:space="preserve"> </w:t>
      </w:r>
      <w:r>
        <w:t xml:space="preserve">Nonlinear Time History Analyses (NLTHA), prohibitive for real-time monitoring. This paper</w:t>
      </w:r>
      <w:r>
        <w:t xml:space="preserve"> </w:t>
      </w:r>
      <w:r>
        <w:t xml:space="preserve">presents a Hybrid Digital Twin combining OpenSeesPy fiber-section NLTHA with a</w:t>
      </w:r>
      <w:r>
        <w:t xml:space="preserve"> </w:t>
      </w:r>
      <w:r>
        <w:t xml:space="preserve">Physics-Guided Neural Network (PgNN) surrogate for real-time inter-story drift ratio (IDR)</w:t>
      </w:r>
      <w:r>
        <w:t xml:space="preserve"> </w:t>
      </w:r>
      <w:r>
        <w:t xml:space="preserve">prediction. Nonlinear restoring forces</w:t>
      </w:r>
      <w:r>
        <w:t xml:space="preserve"> </w:t>
      </w:r>
      <m:oMath>
        <m:sSub>
          <m:e>
            <m:r>
              <m:t>f</m:t>
            </m:r>
          </m:e>
          <m:sub>
            <m:r>
              <m:t>i</m:t>
            </m:r>
            <m:r>
              <m:t>n</m:t>
            </m:r>
            <m:r>
              <m:t>t</m:t>
            </m:r>
          </m:sub>
        </m:sSub>
      </m:oMath>
      <w:r>
        <w:t xml:space="preserve">, floor accelerations, and velocities from</w:t>
      </w:r>
      <w:r>
        <w:t xml:space="preserve"> </w:t>
      </w:r>
      <w:r>
        <w:t xml:space="preserve">OpenSeesPy fiber sections inform per-story inverse-variance weights and physics tensor</w:t>
      </w:r>
      <w:r>
        <w:t xml:space="preserve"> </w:t>
      </w:r>
      <w:r>
        <w:t xml:space="preserve">regularization. The framework scales from</w:t>
      </w:r>
      <w:r>
        <w:t xml:space="preserve"> </w:t>
      </w:r>
      <m:oMath>
        <m:r>
          <m:t>N</m:t>
        </m:r>
        <m:r>
          <m:rPr>
            <m:sty m:val="p"/>
          </m:rPr>
          <m:t>=</m:t>
        </m:r>
        <m:r>
          <m:t>3</m:t>
        </m:r>
      </m:oMath>
      <w:r>
        <w:t xml:space="preserve"> </w:t>
      </w:r>
      <w:r>
        <w:t xml:space="preserve">to</w:t>
      </w:r>
      <w:r>
        <w:t xml:space="preserve"> </w:t>
      </w:r>
      <m:oMath>
        <m:r>
          <m:t>N</m:t>
        </m:r>
        <m:r>
          <m:rPr>
            <m:sty m:val="p"/>
          </m:rPr>
          <m:t>=</m:t>
        </m:r>
        <m:r>
          <m:t>10</m:t>
        </m:r>
      </m:oMath>
      <w:r>
        <w:t xml:space="preserve"> </w:t>
      </w:r>
      <w:r>
        <w:t xml:space="preserve">stories without architectural</w:t>
      </w:r>
      <w:r>
        <w:t xml:space="preserve"> </w:t>
      </w:r>
      <w:r>
        <w:t xml:space="preserve">modification. Validated on the complete PEER NGA-West2 database, the PgNN achieves</w:t>
      </w:r>
      <w:r>
        <w:t xml:space="preserve"> </w:t>
      </w:r>
      <m:oMath>
        <m:sSup>
          <m:e>
            <m:r>
              <m:t>R</m:t>
            </m:r>
          </m:e>
          <m:sup>
            <m:r>
              <m:t>2</m:t>
            </m:r>
          </m:sup>
        </m:sSup>
        <m:r>
          <m:rPr>
            <m:sty m:val="p"/>
          </m:rPr>
          <m:t>=</m:t>
        </m:r>
        <m:r>
          <m:t>0.783</m:t>
        </m:r>
      </m:oMath>
      <w:r>
        <w:t xml:space="preserve"> </w:t>
      </w:r>
      <w:r>
        <w:t xml:space="preserve">(RMSE</w:t>
      </w:r>
      <w:r>
        <w:t xml:space="preserve"> </w:t>
      </w:r>
      <m:oMath>
        <m:r>
          <m:rPr>
            <m:sty m:val="p"/>
          </m:rPr>
          <m:t>=</m:t>
        </m:r>
        <m:r>
          <m:t>0.834</m:t>
        </m:r>
        <m:r>
          <m:rPr>
            <m:sty m:val="p"/>
          </m:rPr>
          <m:t>%</m:t>
        </m:r>
      </m:oMath>
      <w:r>
        <w:t xml:space="preserve">) for</w:t>
      </w:r>
      <w:r>
        <w:t xml:space="preserve"> </w:t>
      </w:r>
      <m:oMath>
        <m:r>
          <m:t>N</m:t>
        </m:r>
        <m:r>
          <m:rPr>
            <m:sty m:val="p"/>
          </m:rPr>
          <m:t>=</m:t>
        </m:r>
        <m:r>
          <m:t>3</m:t>
        </m:r>
      </m:oMath>
      <w:r>
        <w:t xml:space="preserve"> </w:t>
      </w:r>
      <w:r>
        <w:t xml:space="preserve">(289 records) and</w:t>
      </w:r>
      <w:r>
        <w:t xml:space="preserve"> </w:t>
      </w:r>
      <m:oMath>
        <m:sSup>
          <m:e>
            <m:r>
              <m:t>R</m:t>
            </m:r>
          </m:e>
          <m:sup>
            <m:r>
              <m:t>2</m:t>
            </m:r>
          </m:sup>
        </m:sSup>
        <m:r>
          <m:rPr>
            <m:sty m:val="p"/>
          </m:rPr>
          <m:t>=</m:t>
        </m:r>
        <m:r>
          <m:t>0.713</m:t>
        </m:r>
      </m:oMath>
      <w:r>
        <w:t xml:space="preserve"> </w:t>
      </w:r>
      <w:r>
        <w:t xml:space="preserve">(RMSE</w:t>
      </w:r>
      <w:r>
        <w:t xml:space="preserve"> </w:t>
      </w:r>
      <m:oMath>
        <m:r>
          <m:rPr>
            <m:sty m:val="p"/>
          </m:rPr>
          <m:t>=</m:t>
        </m:r>
        <m:r>
          <m:t>0.523</m:t>
        </m:r>
        <m:r>
          <m:rPr>
            <m:sty m:val="p"/>
          </m:rPr>
          <m:t>%</m:t>
        </m:r>
      </m:oMath>
      <w:r>
        <w:t xml:space="preserve">) for</w:t>
      </w:r>
      <w:r>
        <w:t xml:space="preserve"> </w:t>
      </w:r>
      <m:oMath>
        <m:r>
          <m:t>N</m:t>
        </m:r>
        <m:r>
          <m:rPr>
            <m:sty m:val="p"/>
          </m:rPr>
          <m:t>=</m:t>
        </m:r>
        <m:r>
          <m:t>10</m:t>
        </m:r>
      </m:oMath>
      <w:r>
        <w:t xml:space="preserve"> </w:t>
      </w:r>
      <w:r>
        <w:t xml:space="preserve">(265 records). The monotonic per-story accuracy</w:t>
      </w:r>
      <w:r>
        <w:t xml:space="preserve"> </w:t>
      </w:r>
      <w:r>
        <w:t xml:space="preserve">degradation from</w:t>
      </w:r>
      <w:r>
        <w:t xml:space="preserve"> </w:t>
      </w:r>
      <m:oMath>
        <m:sSup>
          <m:e>
            <m:r>
              <m:t>R</m:t>
            </m:r>
          </m:e>
          <m:sup>
            <m:r>
              <m:t>2</m:t>
            </m:r>
          </m:sup>
        </m:sSup>
        <m:r>
          <m:rPr>
            <m:sty m:val="p"/>
          </m:rPr>
          <m:t>=</m:t>
        </m:r>
        <m:r>
          <m:t>0.754</m:t>
        </m:r>
      </m:oMath>
      <w:r>
        <w:t xml:space="preserve"> </w:t>
      </w:r>
      <w:r>
        <w:t xml:space="preserve">(base) to</w:t>
      </w:r>
      <w:r>
        <w:t xml:space="preserve"> </w:t>
      </w:r>
      <m:oMath>
        <m:sSup>
          <m:e>
            <m:r>
              <m:t>R</m:t>
            </m:r>
          </m:e>
          <m:sup>
            <m:r>
              <m:t>2</m:t>
            </m:r>
          </m:sup>
        </m:sSup>
        <m:r>
          <m:rPr>
            <m:sty m:val="p"/>
          </m:rPr>
          <m:t>=</m:t>
        </m:r>
        <m:r>
          <m:t>0.601</m:t>
        </m:r>
      </m:oMath>
      <w:r>
        <w:t xml:space="preserve"> </w:t>
      </w:r>
      <w:r>
        <w:t xml:space="preserve">(roof), driven by higher-mode</w:t>
      </w:r>
      <w:r>
        <w:t xml:space="preserve"> </w:t>
      </w:r>
      <w:r>
        <w:t xml:space="preserve">participation (whiplash effect), is systematically characterized. Transfer learning from</w:t>
      </w:r>
      <w:r>
        <w:t xml:space="preserve"> </w:t>
      </w:r>
      <m:oMath>
        <m:r>
          <m:t>N</m:t>
        </m:r>
        <m:r>
          <m:rPr>
            <m:sty m:val="p"/>
          </m:rPr>
          <m:t>=</m:t>
        </m:r>
        <m:r>
          <m:t>3</m:t>
        </m:r>
      </m:oMath>
      <w:r>
        <w:t xml:space="preserve"> </w:t>
      </w:r>
      <w:r>
        <w:t xml:space="preserve">retains 98.2% accuracy for</w:t>
      </w:r>
      <w:r>
        <w:t xml:space="preserve"> </w:t>
      </w:r>
      <m:oMath>
        <m:r>
          <m:t>N</m:t>
        </m:r>
        <m:r>
          <m:rPr>
            <m:sty m:val="p"/>
          </m:rPr>
          <m:t>=</m:t>
        </m:r>
        <m:r>
          <m:t>10</m:t>
        </m:r>
      </m:oMath>
      <w:r>
        <w:t xml:space="preserve">, confirming domain-invariant feature extraction.</w:t>
      </w:r>
      <w:r>
        <w:t xml:space="preserve"> </w:t>
      </w:r>
      <w:r>
        <w:t xml:space="preserve">PgNN-derived fragility curves identify mid-height drift concentration as the governing</w:t>
      </w:r>
      <w:r>
        <w:t xml:space="preserve"> </w:t>
      </w:r>
      <w:r>
        <w:t xml:space="preserve">failure mode. CPU inference latency of $</w:t>
      </w:r>
      <w:r>
        <w:t xml:space="preserve">$2 ms enables deployment without GPU hardware.</w:t>
      </w:r>
    </w:p>
    <w:p>
      <w:pPr>
        <w:pStyle w:val="BodyText"/>
      </w:pPr>
      <w:r>
        <w:rPr>
          <w:b/>
          <w:bCs/>
        </w:rPr>
        <w:t xml:space="preserve">Keywords</w:t>
      </w:r>
      <w:r>
        <w:t xml:space="preserve"> </w:t>
      </w:r>
      <w:r>
        <w:t xml:space="preserve">Hybrid Digital Twin; Physics-Guided Neural Networks; FEM-Guided Surrogate</w:t>
      </w:r>
      <w:r>
        <w:t xml:space="preserve"> </w:t>
      </w:r>
      <w:r>
        <w:t xml:space="preserve">Modeling; Seismic Response Prediction; Inter-Story Drift Ratio; Nonlinear Time History</w:t>
      </w:r>
      <w:r>
        <w:t xml:space="preserve"> </w:t>
      </w:r>
      <w:r>
        <w:t xml:space="preserve">Analysis; Reinforced Concrete Frames; Whiplash Effect</w:t>
      </w:r>
    </w:p>
    <w:p>
      <w:r>
        <w:pict>
          <v:rect style="width:0;height:1.5pt" o:hralign="center" o:hrstd="t" o:hr="t"/>
        </w:pict>
      </w:r>
    </w:p>
    <w:bookmarkEnd w:id="11"/>
    <w:bookmarkStart w:id="12" w:name="introduction"/>
    <w:p>
      <w:pPr>
        <w:pStyle w:val="Heading1"/>
      </w:pPr>
      <w:r>
        <w:t xml:space="preserve">1. Introduction</w:t>
      </w:r>
    </w:p>
    <w:p>
      <w:pPr>
        <w:pStyle w:val="FirstParagraph"/>
      </w:pPr>
      <w:r>
        <w:t xml:space="preserve">Reinforced concrete (RC) buildings represent a significant portion of the global</w:t>
      </w:r>
      <w:r>
        <w:t xml:space="preserve"> </w:t>
      </w:r>
      <w:r>
        <w:t xml:space="preserve">building stock in seismically active regions. Under moderate to strong ground shaking,</w:t>
      </w:r>
      <w:r>
        <w:t xml:space="preserve"> </w:t>
      </w:r>
      <w:r>
        <w:t xml:space="preserve">these structures exhibit highly nonlinear behavior driven by concrete cracking, steel</w:t>
      </w:r>
      <w:r>
        <w:t xml:space="preserve"> </w:t>
      </w:r>
      <w:r>
        <w:t xml:space="preserve">yielding, and stiffness degradation — phenomena that only Nonlinear Time History Analysis</w:t>
      </w:r>
      <w:r>
        <w:t xml:space="preserve"> </w:t>
      </w:r>
      <w:r>
        <w:t xml:space="preserve">(NLTHA) can rigorously capture using high-fidelity Finite Element Models (FEM) [1].</w:t>
      </w:r>
      <w:r>
        <w:t xml:space="preserve"> </w:t>
      </w:r>
      <w:r>
        <w:t xml:space="preserve">However, a single NLTHA of a multi-story RC frame requires 10–60 seconds of wall-clock</w:t>
      </w:r>
      <w:r>
        <w:t xml:space="preserve"> </w:t>
      </w:r>
      <w:r>
        <w:t xml:space="preserve">time, making it computationally infeasible for Probabilistic Seismic Demand Analysis</w:t>
      </w:r>
      <w:r>
        <w:t xml:space="preserve"> </w:t>
      </w:r>
      <w:r>
        <w:t xml:space="preserve">(PSDA), which typically requires thousands of simulations to characterize structural</w:t>
      </w:r>
      <w:r>
        <w:t xml:space="preserve"> </w:t>
      </w:r>
      <w:r>
        <w:t xml:space="preserve">fragility across the full hazard spectrum.</w:t>
      </w:r>
    </w:p>
    <w:p>
      <w:pPr>
        <w:pStyle w:val="BodyText"/>
      </w:pPr>
      <w:r>
        <w:t xml:space="preserve">Surrogate modeling — the replacement of expensive simulations with computationally</w:t>
      </w:r>
      <w:r>
        <w:t xml:space="preserve"> </w:t>
      </w:r>
      <w:r>
        <w:t xml:space="preserve">efficient approximations — has emerged as a practical solution to this bottleneck.</w:t>
      </w:r>
      <w:r>
        <w:t xml:space="preserve"> </w:t>
      </w:r>
      <w:r>
        <w:t xml:space="preserve">Classical metamodeling approaches, including polynomial response surfaces, Kriging, and</w:t>
      </w:r>
      <w:r>
        <w:t xml:space="preserve"> </w:t>
      </w:r>
      <w:r>
        <w:t xml:space="preserve">polynomial chaos expansions, have demonstrated success in scalar engineering demand</w:t>
      </w:r>
      <w:r>
        <w:t xml:space="preserve"> </w:t>
      </w:r>
      <w:r>
        <w:t xml:space="preserve">parameter (EDP) prediction. However, these methods require explicit feature engineering,</w:t>
      </w:r>
      <w:r>
        <w:t xml:space="preserve"> </w:t>
      </w:r>
      <w:r>
        <w:t xml:space="preserve">scale poorly to multi-dimensional output spaces (e.g., full displacement time-histories),</w:t>
      </w:r>
      <w:r>
        <w:t xml:space="preserve"> </w:t>
      </w:r>
      <w:r>
        <w:t xml:space="preserve">and are inherently non-parametric: each surrogate is fixed to a specific building</w:t>
      </w:r>
      <w:r>
        <w:t xml:space="preserve"> </w:t>
      </w:r>
      <w:r>
        <w:t xml:space="preserve">geometry and must be retrained from scratch for any change in height, plan configuration,</w:t>
      </w:r>
      <w:r>
        <w:t xml:space="preserve"> </w:t>
      </w:r>
      <w:r>
        <w:t xml:space="preserve">or structural system.</w:t>
      </w:r>
    </w:p>
    <w:p>
      <w:pPr>
        <w:pStyle w:val="BodyText"/>
      </w:pPr>
      <w:r>
        <w:t xml:space="preserve">Deep learning surrogates have recently addressed these limitations [27]. Convolutional</w:t>
      </w:r>
      <w:r>
        <w:t xml:space="preserve"> </w:t>
      </w:r>
      <w:r>
        <w:t xml:space="preserve">neural networks (CNNs) [21] and long short-term memory networks (LSTMs) have been applied</w:t>
      </w:r>
      <w:r>
        <w:t xml:space="preserve"> </w:t>
      </w:r>
      <w:r>
        <w:t xml:space="preserve">to predict seismic responses from ground motion inputs, achieving</w:t>
      </w:r>
      <w:r>
        <w:t xml:space="preserve"> </w:t>
      </w:r>
      <m:oMath>
        <m:sSup>
          <m:e>
            <m:r>
              <m:t>R</m:t>
            </m:r>
          </m:e>
          <m:sup>
            <m:r>
              <m:t>2</m:t>
            </m:r>
          </m:sup>
        </m:sSup>
        <m:r>
          <m:rPr>
            <m:sty m:val="p"/>
          </m:rPr>
          <m:t>&gt;</m:t>
        </m:r>
        <m:r>
          <m:t>0.85</m:t>
        </m:r>
      </m:oMath>
      <w:r>
        <w:t xml:space="preserve"> </w:t>
      </w:r>
      <w:r>
        <w:t xml:space="preserve">for peak</w:t>
      </w:r>
      <w:r>
        <w:t xml:space="preserve"> </w:t>
      </w:r>
      <w:r>
        <w:t xml:space="preserve">IDR prediction without hand-crafted features [10], while machine learning classifiers have</w:t>
      </w:r>
      <w:r>
        <w:t xml:space="preserve"> </w:t>
      </w:r>
      <w:r>
        <w:t xml:space="preserve">shown promise for failure mode recognition in RC members [30]. Yet, purely data-driven</w:t>
      </w:r>
      <w:r>
        <w:t xml:space="preserve"> </w:t>
      </w:r>
      <w:r>
        <w:t xml:space="preserve">models lack</w:t>
      </w:r>
      <w:r>
        <w:t xml:space="preserve"> </w:t>
      </w:r>
      <w:r>
        <w:t xml:space="preserve">physical interpretability: they can generate dynamically inconsistent predictions — for</w:t>
      </w:r>
      <w:r>
        <w:t xml:space="preserve"> </w:t>
      </w:r>
      <w:r>
        <w:t xml:space="preserve">example, non-zero pre-event displacements or accelerations that violate Newton’s second</w:t>
      </w:r>
      <w:r>
        <w:t xml:space="preserve"> </w:t>
      </w:r>
      <w:r>
        <w:t xml:space="preserve">law — and typically require thousands of FEM simulations to generalize reliably across</w:t>
      </w:r>
      <w:r>
        <w:t xml:space="preserve"> </w:t>
      </w:r>
      <w:r>
        <w:t xml:space="preserve">intensity levels and site conditions.</w:t>
      </w:r>
    </w:p>
    <w:p>
      <w:pPr>
        <w:pStyle w:val="BodyText"/>
      </w:pPr>
      <w:r>
        <w:t xml:space="preserve">Physics-Informed and Physics-Guided Neural Networks, introduced by Raissi et al. [3],</w:t>
      </w:r>
      <w:r>
        <w:t xml:space="preserve"> </w:t>
      </w:r>
      <w:r>
        <w:t xml:space="preserve">resolve this trade-off by incorporating governing physical equations into the training</w:t>
      </w:r>
      <w:r>
        <w:t xml:space="preserve"> </w:t>
      </w:r>
      <w:r>
        <w:t xml:space="preserve">process — either through the loss function or through physics-derived training data —</w:t>
      </w:r>
      <w:r>
        <w:t xml:space="preserve"> </w:t>
      </w:r>
      <w:r>
        <w:t xml:space="preserve">constraining predictions to physically consistent solutions. Applied to structural</w:t>
      </w:r>
      <w:r>
        <w:t xml:space="preserve"> </w:t>
      </w:r>
      <w:r>
        <w:t xml:space="preserve">dynamics, the equation of motion</w:t>
      </w:r>
    </w:p>
    <w:p>
      <w:pPr>
        <w:pStyle w:val="BodyText"/>
      </w:pPr>
      <m:oMathPara>
        <m:oMathParaPr>
          <m:jc m:val="center"/>
        </m:oMathParaPr>
        <m:oMath>
          <m:r>
            <m:rPr>
              <m:sty m:val="bi"/>
            </m:rPr>
            <m:t>M</m:t>
          </m:r>
          <m:acc>
            <m:accPr>
              <m:chr m:val="̈"/>
            </m:accPr>
            <m:e>
              <m:r>
                <m:rPr>
                  <m:sty m:val="bi"/>
                </m:rPr>
                <m:t>u</m:t>
              </m:r>
            </m:e>
          </m:acc>
          <m:r>
            <m:rPr>
              <m:sty m:val="p"/>
            </m:rPr>
            <m:t>+</m:t>
          </m:r>
          <m:r>
            <m:rPr>
              <m:sty m:val="bi"/>
            </m:rPr>
            <m:t>C</m:t>
          </m:r>
          <m:acc>
            <m:accPr>
              <m:chr m:val="̇"/>
            </m:accPr>
            <m:e>
              <m:r>
                <m:rPr>
                  <m:sty m:val="bi"/>
                </m:rPr>
                <m:t>u</m:t>
              </m:r>
            </m:e>
          </m:acc>
          <m:r>
            <m:rPr>
              <m:sty m:val="p"/>
            </m:rPr>
            <m:t>+</m:t>
          </m:r>
          <m:sSub>
            <m:e>
              <m:r>
                <m:rPr>
                  <m:sty m:val="bi"/>
                </m:rPr>
                <m:t>f</m:t>
              </m:r>
            </m:e>
            <m:sub>
              <m:r>
                <m:t>i</m:t>
              </m:r>
              <m:r>
                <m:t>n</m:t>
              </m:r>
              <m:r>
                <m:t>t</m:t>
              </m:r>
            </m:sub>
          </m:sSub>
          <m:r>
            <m:rPr>
              <m:sty m:val="p"/>
            </m:rPr>
            <m:t>(</m:t>
          </m:r>
          <m:r>
            <m:rPr>
              <m:sty m:val="bi"/>
            </m:rPr>
            <m:t>u</m:t>
          </m:r>
          <m:r>
            <m:rPr>
              <m:sty m:val="p"/>
            </m:rPr>
            <m:t>)</m:t>
          </m:r>
          <m:r>
            <m:rPr>
              <m:sty m:val="p"/>
            </m:rPr>
            <m:t>=</m:t>
          </m:r>
          <m:r>
            <m:rPr>
              <m:sty m:val="p"/>
            </m:rPr>
            <m:t>−</m:t>
          </m:r>
          <m:r>
            <m:rPr>
              <m:sty m:val="bi"/>
            </m:rPr>
            <m:t>M</m:t>
          </m:r>
          <m:r>
            <m:rPr>
              <m:sty m:val="bi"/>
            </m:rPr>
            <m:t>ι</m:t>
          </m:r>
          <m:sSub>
            <m:e>
              <m:acc>
                <m:accPr>
                  <m:chr m:val="̈"/>
                </m:accPr>
                <m:e>
                  <m:r>
                    <m:t>u</m:t>
                  </m:r>
                </m:e>
              </m:acc>
            </m:e>
            <m:sub>
              <m:r>
                <m:t>g</m:t>
              </m:r>
            </m:sub>
          </m:sSub>
        </m:oMath>
      </m:oMathPara>
    </w:p>
    <w:p>
      <w:pPr>
        <w:pStyle w:val="FirstParagraph"/>
      </w:pPr>
      <w:r>
        <w:rPr>
          <w:i/>
          <w:iCs/>
        </w:rPr>
        <w:t xml:space="preserve">(1)</w:t>
      </w:r>
    </w:p>
    <w:p>
      <w:pPr>
        <w:pStyle w:val="BodyText"/>
      </w:pPr>
      <w:r>
        <w:t xml:space="preserve">provides a powerful regularization signal that reduces the labeled data requirement and</w:t>
      </w:r>
      <w:r>
        <w:t xml:space="preserve"> </w:t>
      </w:r>
      <w:r>
        <w:t xml:space="preserve">improves generalization to unseen ground motions. Zhang et al. [10] demonstrated that</w:t>
      </w:r>
      <w:r>
        <w:t xml:space="preserve"> </w:t>
      </w:r>
      <w:r>
        <w:t xml:space="preserve">physics-informed multi-LSTM networks can predict nonlinear dynamic responses with fewer</w:t>
      </w:r>
      <w:r>
        <w:t xml:space="preserve"> </w:t>
      </w:r>
      <w:r>
        <w:t xml:space="preserve">training samples than purely data-driven counterparts. However, prior work has</w:t>
      </w:r>
      <w:r>
        <w:t xml:space="preserve"> </w:t>
      </w:r>
      <w:r>
        <w:t xml:space="preserve">approximated the internal force term</w:t>
      </w:r>
      <w:r>
        <w:t xml:space="preserve"> </w:t>
      </w:r>
      <m:oMath>
        <m:sSub>
          <m:e>
            <m:r>
              <m:rPr>
                <m:sty m:val="bi"/>
              </m:rPr>
              <m:t>f</m:t>
            </m:r>
          </m:e>
          <m:sub>
            <m:r>
              <m:t>i</m:t>
            </m:r>
            <m:r>
              <m:t>n</m:t>
            </m:r>
            <m:r>
              <m:t>t</m:t>
            </m:r>
          </m:sub>
        </m:sSub>
      </m:oMath>
      <w:r>
        <w:t xml:space="preserve"> </w:t>
      </w:r>
      <w:r>
        <w:t xml:space="preserve">analytically (e.g., via linear</w:t>
      </w:r>
      <w:r>
        <w:t xml:space="preserve"> </w:t>
      </w:r>
      <w:r>
        <w:t xml:space="preserve">stiffness or simplified hysteretic rules), failing to capture the full nonlinear cyclic</w:t>
      </w:r>
      <w:r>
        <w:t xml:space="preserve"> </w:t>
      </w:r>
      <w:r>
        <w:t xml:space="preserve">degradation encoded in FEM fiber sections [7, 8].</w:t>
      </w:r>
    </w:p>
    <w:p>
      <w:pPr>
        <w:pStyle w:val="BodyText"/>
      </w:pPr>
      <w:r>
        <w:t xml:space="preserve">Concurrently, the Digital Twin paradigm — a synchronized virtual replica of a physical</w:t>
      </w:r>
      <w:r>
        <w:t xml:space="preserve"> </w:t>
      </w:r>
      <w:r>
        <w:t xml:space="preserve">system updated in real-time from sensor data [4, 6] — provides the operational context for</w:t>
      </w:r>
      <w:r>
        <w:t xml:space="preserve"> </w:t>
      </w:r>
      <w:r>
        <w:t xml:space="preserve">a physics-guided structural surrogate. For seismic applications, the digital twin must</w:t>
      </w:r>
      <w:r>
        <w:t xml:space="preserve"> </w:t>
      </w:r>
      <w:r>
        <w:t xml:space="preserve">produce accurate structural state estimates at latencies compatible with control loop</w:t>
      </w:r>
      <w:r>
        <w:t xml:space="preserve"> </w:t>
      </w:r>
      <w:r>
        <w:t xml:space="preserve">requirements (</w:t>
      </w:r>
      <m:oMath>
        <m:r>
          <m:rPr>
            <m:sty m:val="p"/>
          </m:rPr>
          <m:t>≤</m:t>
        </m:r>
        <m:r>
          <m:t>100</m:t>
        </m:r>
      </m:oMath>
      <w:r>
        <w:t xml:space="preserve"> </w:t>
      </w:r>
      <w:r>
        <w:t xml:space="preserve">ms for semi-active damper actuation), a constraint that full</w:t>
      </w:r>
      <w:r>
        <w:t xml:space="preserve"> </w:t>
      </w:r>
      <w:r>
        <w:t xml:space="preserve">NLTHA cannot satisfy.</w:t>
      </w:r>
    </w:p>
    <w:p>
      <w:pPr>
        <w:pStyle w:val="BodyText"/>
      </w:pPr>
      <w:r>
        <w:rPr>
          <w:b/>
          <w:bCs/>
        </w:rPr>
        <w:t xml:space="preserve">Research Gap.</w:t>
      </w:r>
      <w:r>
        <w:t xml:space="preserve"> </w:t>
      </w:r>
      <w:r>
        <w:t xml:space="preserve">Existing surrogate models for seismic response prediction are limited</w:t>
      </w:r>
      <w:r>
        <w:t xml:space="preserve"> </w:t>
      </w:r>
      <w:r>
        <w:t xml:space="preserve">by three concurrent constraints: (1) they are</w:t>
      </w:r>
      <w:r>
        <w:t xml:space="preserve"> </w:t>
      </w:r>
      <w:r>
        <w:rPr>
          <w:i/>
          <w:iCs/>
        </w:rPr>
        <w:t xml:space="preserve">black-box</w:t>
      </w:r>
      <w:r>
        <w:t xml:space="preserve">, lacking adherence to laws of</w:t>
      </w:r>
      <w:r>
        <w:t xml:space="preserve"> </w:t>
      </w:r>
      <w:r>
        <w:t xml:space="preserve">motion; (2) they are</w:t>
      </w:r>
      <w:r>
        <w:t xml:space="preserve"> </w:t>
      </w:r>
      <w:r>
        <w:rPr>
          <w:i/>
          <w:iCs/>
        </w:rPr>
        <w:t xml:space="preserve">scalar-only</w:t>
      </w:r>
      <w:r>
        <w:t xml:space="preserve">, predicting peak quantities rather than the full</w:t>
      </w:r>
      <w:r>
        <w:t xml:space="preserve"> </w:t>
      </w:r>
      <w:r>
        <w:t xml:space="preserve">displacement time-histories required for damage state classification; and (3) they are</w:t>
      </w:r>
      <w:r>
        <w:t xml:space="preserve"> </w:t>
      </w:r>
      <w:r>
        <w:rPr>
          <w:i/>
          <w:iCs/>
        </w:rPr>
        <w:t xml:space="preserve">non-parametric</w:t>
      </w:r>
      <w:r>
        <w:t xml:space="preserve">, fixed to a specific building geometry and unable to generalize to</w:t>
      </w:r>
      <w:r>
        <w:t xml:space="preserve"> </w:t>
      </w:r>
      <w:r>
        <w:t xml:space="preserve">different story counts without retraining. Furthermore, no prior work has validated a</w:t>
      </w:r>
      <w:r>
        <w:t xml:space="preserve"> </w:t>
      </w:r>
      <w:r>
        <w:t xml:space="preserve">physics-informed surrogate against the complete PEER NGA-West2 database at multiple</w:t>
      </w:r>
      <w:r>
        <w:t xml:space="preserve"> </w:t>
      </w:r>
      <w:r>
        <w:t xml:space="preserve">building heights, nor characterized the whiplash effect — progressive upper-story</w:t>
      </w:r>
      <w:r>
        <w:t xml:space="preserve"> </w:t>
      </w:r>
      <w:r>
        <w:t xml:space="preserve">accuracy degradation due to higher-mode participation — in the PgNN context.</w:t>
      </w:r>
    </w:p>
    <w:p>
      <w:pPr>
        <w:pStyle w:val="BodyText"/>
      </w:pPr>
      <w:r>
        <w:rPr>
          <w:b/>
          <w:bCs/>
        </w:rPr>
        <w:t xml:space="preserve">Contribution.</w:t>
      </w:r>
      <w:r>
        <w:t xml:space="preserve"> </w:t>
      </w:r>
      <w:r>
        <w:t xml:space="preserve">This paper presents a</w:t>
      </w:r>
      <w:r>
        <w:t xml:space="preserve"> </w:t>
      </w:r>
      <w:r>
        <w:rPr>
          <w:b/>
          <w:bCs/>
        </w:rPr>
        <w:t xml:space="preserve">Hybrid Digital Twin</w:t>
      </w:r>
      <w:r>
        <w:t xml:space="preserve"> </w:t>
      </w:r>
      <w:r>
        <w:t xml:space="preserve">with the following</w:t>
      </w:r>
      <w:r>
        <w:t xml:space="preserve"> </w:t>
      </w:r>
      <w:r>
        <w:t xml:space="preserve">specific contributions:</w:t>
      </w:r>
    </w:p>
    <w:p>
      <w:pPr>
        <w:numPr>
          <w:ilvl w:val="0"/>
          <w:numId w:val="1001"/>
        </w:numPr>
      </w:pPr>
      <w:r>
        <w:t xml:space="preserve">A fully parametric OpenSeesPy NLTHA framework scalable from</w:t>
      </w:r>
      <w:r>
        <w:t xml:space="preserve"> </w:t>
      </w:r>
      <m:oMath>
        <m:r>
          <m:t>N</m:t>
        </m:r>
        <m:r>
          <m:rPr>
            <m:sty m:val="p"/>
          </m:rPr>
          <m:t>=</m:t>
        </m:r>
        <m:r>
          <m:t>3</m:t>
        </m:r>
      </m:oMath>
      <w:r>
        <w:t xml:space="preserve"> </w:t>
      </w:r>
      <w:r>
        <w:t xml:space="preserve">to</w:t>
      </w:r>
      <w:r>
        <w:t xml:space="preserve"> </w:t>
      </w:r>
      <m:oMath>
        <m:r>
          <m:t>N</m:t>
        </m:r>
        <m:r>
          <m:rPr>
            <m:sty m:val="p"/>
          </m:rPr>
          <m:t>=</m:t>
        </m:r>
        <m:r>
          <m:t>10</m:t>
        </m:r>
        <m:r>
          <m:rPr>
            <m:sty m:val="p"/>
          </m:rPr>
          <m:t>+</m:t>
        </m:r>
      </m:oMath>
      <w:r>
        <w:t xml:space="preserve"> </w:t>
      </w:r>
      <w:r>
        <w:t xml:space="preserve">stories, with fiber-section nonlinearity (Concrete02 [7], Steel02 [8]) and a</w:t>
      </w:r>
      <w:r>
        <w:t xml:space="preserve"> </w:t>
      </w:r>
      <w:r>
        <w:t xml:space="preserve">five-strategy convergence cascade achieving 98.0% record convergence for</w:t>
      </w:r>
      <w:r>
        <w:t xml:space="preserve"> </w:t>
      </w:r>
      <m:oMath>
        <m:r>
          <m:t>N</m:t>
        </m:r>
        <m:r>
          <m:rPr>
            <m:sty m:val="p"/>
          </m:rPr>
          <m:t>=</m:t>
        </m:r>
        <m:r>
          <m:t>3</m:t>
        </m:r>
      </m:oMath>
      <w:r>
        <w:t xml:space="preserve"> </w:t>
      </w:r>
      <w:r>
        <w:t xml:space="preserve">and 88.6% for</w:t>
      </w:r>
      <w:r>
        <w:t xml:space="preserve"> </w:t>
      </w:r>
      <m:oMath>
        <m:r>
          <m:t>N</m:t>
        </m:r>
        <m:r>
          <m:rPr>
            <m:sty m:val="p"/>
          </m:rPr>
          <m:t>=</m:t>
        </m:r>
        <m:r>
          <m:t>10</m:t>
        </m:r>
      </m:oMath>
      <w:r>
        <w:t xml:space="preserve"> </w:t>
      </w:r>
      <w:r>
        <w:t xml:space="preserve">on the complete PEER NGA-West2 database [2].</w:t>
      </w:r>
    </w:p>
    <w:p>
      <w:pPr>
        <w:numPr>
          <w:ilvl w:val="0"/>
          <w:numId w:val="1001"/>
        </w:numPr>
      </w:pPr>
      <w:r>
        <w:t xml:space="preserve">A</w:t>
      </w:r>
      <w:r>
        <w:t xml:space="preserve"> </w:t>
      </w:r>
      <w:r>
        <w:rPr>
          <w:b/>
          <w:bCs/>
        </w:rPr>
        <w:t xml:space="preserve">FEM-Guided Loss with Physics Tensors</w:t>
      </w:r>
      <w:r>
        <w:t xml:space="preserve">: actual nonlinear restoring forces</w:t>
      </w:r>
      <w:r>
        <w:t xml:space="preserve"> </w:t>
      </w:r>
      <m:oMath>
        <m:sSub>
          <m:e>
            <m:r>
              <m:rPr>
                <m:sty m:val="bi"/>
              </m:rPr>
              <m:t>f</m:t>
            </m:r>
          </m:e>
          <m:sub>
            <m:r>
              <m:t>i</m:t>
            </m:r>
            <m:r>
              <m:t>n</m:t>
            </m:r>
            <m:r>
              <m:t>t</m:t>
            </m:r>
          </m:sub>
        </m:sSub>
      </m:oMath>
      <w:r>
        <w:t xml:space="preserve">, floor accelerations</w:t>
      </w:r>
      <w:r>
        <w:t xml:space="preserve"> </w:t>
      </w:r>
      <m:oMath>
        <m:acc>
          <m:accPr>
            <m:chr m:val="̈"/>
          </m:accPr>
          <m:e>
            <m:r>
              <m:rPr>
                <m:sty m:val="bi"/>
              </m:rPr>
              <m:t>u</m:t>
            </m:r>
          </m:e>
        </m:acc>
      </m:oMath>
      <w:r>
        <w:t xml:space="preserve">, and velocities</w:t>
      </w:r>
      <w:r>
        <w:t xml:space="preserve"> </w:t>
      </w:r>
      <m:oMath>
        <m:acc>
          <m:accPr>
            <m:chr m:val="̇"/>
          </m:accPr>
          <m:e>
            <m:r>
              <m:rPr>
                <m:sty m:val="bi"/>
              </m:rPr>
              <m:t>u</m:t>
            </m:r>
          </m:e>
        </m:acc>
      </m:oMath>
      <w:r>
        <w:t xml:space="preserve"> </w:t>
      </w:r>
      <w:r>
        <w:t xml:space="preserve">from OpenSeesPy fiber sections — encoding concrete cracking,</w:t>
      </w:r>
      <w:r>
        <w:t xml:space="preserve"> </w:t>
      </w:r>
      <w:r>
        <w:t xml:space="preserve">steel yielding, and cyclic stiffness degradation — inform the training objective</w:t>
      </w:r>
      <w:r>
        <w:t xml:space="preserve"> </w:t>
      </w:r>
      <w:r>
        <w:t xml:space="preserve">through per-story inverse-variance weighting derived from FEM response statistics,</w:t>
      </w:r>
      <w:r>
        <w:t xml:space="preserve"> </w:t>
      </w:r>
      <w:r>
        <w:t xml:space="preserve">replacing the linearized approximations of prior work [10].</w:t>
      </w:r>
    </w:p>
    <w:p>
      <w:pPr>
        <w:numPr>
          <w:ilvl w:val="0"/>
          <w:numId w:val="1001"/>
        </w:numPr>
      </w:pPr>
      <w:r>
        <w:t xml:space="preserve">Validated performance on the complete PEER NGA-West2 database:</w:t>
      </w:r>
      <w:r>
        <w:t xml:space="preserve"> </w:t>
      </w:r>
      <m:oMath>
        <m:sSup>
          <m:e>
            <m:r>
              <m:t>R</m:t>
            </m:r>
          </m:e>
          <m:sup>
            <m:r>
              <m:t>2</m:t>
            </m:r>
          </m:sup>
        </m:sSup>
        <m:r>
          <m:rPr>
            <m:sty m:val="p"/>
          </m:rPr>
          <m:t>=</m:t>
        </m:r>
        <m:r>
          <m:t>0.783</m:t>
        </m:r>
      </m:oMath>
      <w:r>
        <w:t xml:space="preserve">,</w:t>
      </w:r>
      <w:r>
        <w:t xml:space="preserve"> </w:t>
      </w:r>
      <w:r>
        <w:t xml:space="preserve">RMSE</w:t>
      </w:r>
      <w:r>
        <w:t xml:space="preserve"> </w:t>
      </w:r>
      <m:oMath>
        <m:r>
          <m:rPr>
            <m:sty m:val="p"/>
          </m:rPr>
          <m:t>=</m:t>
        </m:r>
        <m:r>
          <m:t>0.834</m:t>
        </m:r>
        <m:r>
          <m:rPr>
            <m:sty m:val="p"/>
          </m:rPr>
          <m:t>%</m:t>
        </m:r>
      </m:oMath>
      <w:r>
        <w:t xml:space="preserve"> </w:t>
      </w:r>
      <w:r>
        <w:t xml:space="preserve">for</w:t>
      </w:r>
      <w:r>
        <w:t xml:space="preserve"> </w:t>
      </w:r>
      <m:oMath>
        <m:r>
          <m:t>N</m:t>
        </m:r>
        <m:r>
          <m:rPr>
            <m:sty m:val="p"/>
          </m:rPr>
          <m:t>=</m:t>
        </m:r>
        <m:r>
          <m:t>3</m:t>
        </m:r>
      </m:oMath>
      <w:r>
        <w:t xml:space="preserve"> </w:t>
      </w:r>
      <w:r>
        <w:t xml:space="preserve">(289 records);</w:t>
      </w:r>
      <w:r>
        <w:t xml:space="preserve"> </w:t>
      </w:r>
      <m:oMath>
        <m:sSup>
          <m:e>
            <m:r>
              <m:t>R</m:t>
            </m:r>
          </m:e>
          <m:sup>
            <m:r>
              <m:t>2</m:t>
            </m:r>
          </m:sup>
        </m:sSup>
        <m:r>
          <m:rPr>
            <m:sty m:val="p"/>
          </m:rPr>
          <m:t>=</m:t>
        </m:r>
        <m:r>
          <m:t>0.713</m:t>
        </m:r>
      </m:oMath>
      <w:r>
        <w:t xml:space="preserve">, RMSE</w:t>
      </w:r>
      <w:r>
        <w:t xml:space="preserve"> </w:t>
      </w:r>
      <m:oMath>
        <m:r>
          <m:rPr>
            <m:sty m:val="p"/>
          </m:rPr>
          <m:t>=</m:t>
        </m:r>
        <m:r>
          <m:t>0.523</m:t>
        </m:r>
        <m:r>
          <m:rPr>
            <m:sty m:val="p"/>
          </m:rPr>
          <m:t>%</m:t>
        </m:r>
      </m:oMath>
      <w:r>
        <w:t xml:space="preserve"> </w:t>
      </w:r>
      <w:r>
        <w:t xml:space="preserve">for</w:t>
      </w:r>
      <w:r>
        <w:t xml:space="preserve"> </w:t>
      </w:r>
      <m:oMath>
        <m:r>
          <m:t>N</m:t>
        </m:r>
        <m:r>
          <m:rPr>
            <m:sty m:val="p"/>
          </m:rPr>
          <m:t>=</m:t>
        </m:r>
        <m:r>
          <m:t>10</m:t>
        </m:r>
      </m:oMath>
      <w:r>
        <w:t xml:space="preserve"> </w:t>
      </w:r>
      <w:r>
        <w:t xml:space="preserve">(265 records). The monotonic per-story accuracy degradation from</w:t>
      </w:r>
      <w:r>
        <w:t xml:space="preserve"> </w:t>
      </w:r>
      <m:oMath>
        <m:sSup>
          <m:e>
            <m:r>
              <m:t>R</m:t>
            </m:r>
          </m:e>
          <m:sup>
            <m:r>
              <m:t>2</m:t>
            </m:r>
          </m:sup>
        </m:sSup>
        <m:r>
          <m:rPr>
            <m:sty m:val="p"/>
          </m:rPr>
          <m:t>=</m:t>
        </m:r>
        <m:r>
          <m:t>0.754</m:t>
        </m:r>
      </m:oMath>
      <w:r>
        <w:t xml:space="preserve"> </w:t>
      </w:r>
      <w:r>
        <w:t xml:space="preserve">(base) to</w:t>
      </w:r>
      <w:r>
        <w:t xml:space="preserve"> </w:t>
      </w:r>
      <m:oMath>
        <m:sSup>
          <m:e>
            <m:r>
              <m:t>R</m:t>
            </m:r>
          </m:e>
          <m:sup>
            <m:r>
              <m:t>2</m:t>
            </m:r>
          </m:sup>
        </m:sSup>
        <m:r>
          <m:rPr>
            <m:sty m:val="p"/>
          </m:rPr>
          <m:t>=</m:t>
        </m:r>
        <m:r>
          <m:t>0.601</m:t>
        </m:r>
      </m:oMath>
      <w:r>
        <w:t xml:space="preserve"> </w:t>
      </w:r>
      <w:r>
        <w:t xml:space="preserve">(roof) — attributable to higher-mode</w:t>
      </w:r>
      <w:r>
        <w:t xml:space="preserve"> </w:t>
      </w:r>
      <w:r>
        <w:t xml:space="preserve">participation — is characterized in the PgNN context.</w:t>
      </w:r>
    </w:p>
    <w:p>
      <w:pPr>
        <w:numPr>
          <w:ilvl w:val="0"/>
          <w:numId w:val="1001"/>
        </w:numPr>
      </w:pPr>
      <w:r>
        <w:t xml:space="preserve">Real-time CPU inference at $</w:t>
      </w:r>
      <w:r>
        <w:t xml:space="preserve">$2 ms per prediction, enabling deployment in</w:t>
      </w:r>
      <w:r>
        <w:t xml:space="preserve"> </w:t>
      </w:r>
      <w:r>
        <w:t xml:space="preserve">structural health monitoring and semi-active control loops without GPU hardware.</w:t>
      </w:r>
    </w:p>
    <w:p>
      <w:pPr>
        <w:pStyle w:val="FirstParagraph"/>
      </w:pPr>
      <w:r>
        <w:t xml:space="preserve">The overall framework is illustrated (Figure 1). The remainder of this paper is organized</w:t>
      </w:r>
      <w:r>
        <w:t xml:space="preserve"> </w:t>
      </w:r>
      <w:r>
        <w:t xml:space="preserve">as follows. Section 2 states the research objectives. Section 3 describes the parametric</w:t>
      </w:r>
      <w:r>
        <w:t xml:space="preserve"> </w:t>
      </w:r>
      <w:r>
        <w:t xml:space="preserve">FEM model, ground motion database, PgNN architecture, and training protocol. Section 4</w:t>
      </w:r>
      <w:r>
        <w:t xml:space="preserve"> </w:t>
      </w:r>
      <w:r>
        <w:t xml:space="preserve">presents simulation results and prediction accuracy for both building configurations.</w:t>
      </w:r>
      <w:r>
        <w:t xml:space="preserve"> </w:t>
      </w:r>
      <w:r>
        <w:t xml:space="preserve">Section 5 discusses the whiplash effect, limitations, and practical implications.</w:t>
      </w:r>
      <w:r>
        <w:t xml:space="preserve"> </w:t>
      </w:r>
      <w:r>
        <w:t xml:space="preserve">Section 6 concludes with key findings and future research directions.</w:t>
      </w:r>
    </w:p>
    <w:tbl>
      <w:tblPr>
        <w:tblStyle w:val="FigureTable"/>
        <w:tblW w:type="auto" w:w="0"/>
        <w:jc w:val="center"/>
        <w:tblLook w:firstRow="0" w:lastRow="0" w:firstColumn="0" w:lastColumn="0"/>
      </w:tblPr>
      <w:tblGrid>
        <w:gridCol w:w="7920"/>
      </w:tblGrid>
      <w:tr>
        <w:tc>
          <w:tcPr/>
          <w:p>
            <w:pPr>
              <w:pStyle w:val="Compact"/>
              <w:jc w:val="center"/>
            </w:pPr>
            <w:r>
              <w:t xml:space="preserve">Hybrid Digital Twin framework overview</w:t>
            </w:r>
          </w:p>
        </w:tc>
      </w:tr>
    </w:tbl>
    <w:p>
      <w:pPr>
        <w:pStyle w:val="ImageCaption"/>
      </w:pPr>
      <w:r>
        <w:t xml:space="preserve">Hybrid Digital Twin framework overview</w:t>
      </w:r>
    </w:p>
    <w:p>
      <w:pPr>
        <w:pStyle w:val="BodyText"/>
      </w:pPr>
      <w:r>
        <w:t xml:space="preserve">Figure 1. Hybrid Digital Twin framework: simulation layer (top) generates physics tensors</w:t>
      </w:r>
      <w:r>
        <w:t xml:space="preserve"> </w:t>
      </w:r>
      <w:r>
        <w:t xml:space="preserve">via OpenSeesPy NLTHA; intelligence layer (bottom) trains the PgNN surrogate with</w:t>
      </w:r>
      <w:r>
        <w:t xml:space="preserve"> </w:t>
      </w:r>
      <w:r>
        <w:t xml:space="preserve">FEM-Guided Loss using actual FEM restoring forces</w:t>
      </w:r>
      <w:r>
        <w:t xml:space="preserve"> </w:t>
      </w:r>
      <m:oMath>
        <m:sSub>
          <m:e>
            <m:r>
              <m:rPr>
                <m:sty m:val="bi"/>
              </m:rPr>
              <m:t>f</m:t>
            </m:r>
          </m:e>
          <m:sub>
            <m:r>
              <m:t>i</m:t>
            </m:r>
            <m:r>
              <m:t>n</m:t>
            </m:r>
            <m:r>
              <m:t>t</m:t>
            </m:r>
          </m:sub>
        </m:sSub>
      </m:oMath>
      <w:r>
        <w:t xml:space="preserve">, floor accelerations,</w:t>
      </w:r>
      <w:r>
        <w:t xml:space="preserve"> </w:t>
      </w:r>
      <w:r>
        <w:t xml:space="preserve">and velocities as physics-guided training signal. Dashed arrow indicates the</w:t>
      </w:r>
      <w:r>
        <w:t xml:space="preserve"> </w:t>
      </w:r>
      <w:r>
        <w:t xml:space="preserve">physics-data coupling between both layers.</w:t>
      </w:r>
    </w:p>
    <w:p>
      <w:r>
        <w:pict>
          <v:rect style="width:0;height:1.5pt" o:hralign="center" o:hrstd="t" o:hr="t"/>
        </w:pict>
      </w:r>
    </w:p>
    <w:bookmarkEnd w:id="12"/>
    <w:bookmarkStart w:id="13" w:name="objectives"/>
    <w:p>
      <w:pPr>
        <w:pStyle w:val="Heading1"/>
      </w:pPr>
      <w:r>
        <w:t xml:space="preserve">2. Objectives</w:t>
      </w:r>
    </w:p>
    <w:p>
      <w:pPr>
        <w:pStyle w:val="FirstParagraph"/>
      </w:pPr>
      <w:r>
        <w:t xml:space="preserve">The overarching goal of this work is to develop and validate a</w:t>
      </w:r>
      <w:r>
        <w:t xml:space="preserve"> </w:t>
      </w:r>
      <w:r>
        <w:t xml:space="preserve">Hybrid Digital Twin that couples high-fidelity NLTHA with a PgNN surrogate for</w:t>
      </w:r>
      <w:r>
        <w:t xml:space="preserve"> </w:t>
      </w:r>
      <w:r>
        <w:t xml:space="preserve">real-time seismic damage prediction. Specifically, the study aims to:</w:t>
      </w:r>
    </w:p>
    <w:p>
      <w:pPr>
        <w:numPr>
          <w:ilvl w:val="0"/>
          <w:numId w:val="1002"/>
        </w:numPr>
      </w:pPr>
      <w:r>
        <w:t xml:space="preserve">Construct a parametric OpenSeesPy RC frame model that scales from</w:t>
      </w:r>
      <w:r>
        <w:t xml:space="preserve"> </w:t>
      </w:r>
      <m:oMath>
        <m:r>
          <m:t>N</m:t>
        </m:r>
        <m:r>
          <m:rPr>
            <m:sty m:val="p"/>
          </m:rPr>
          <m:t>=</m:t>
        </m:r>
        <m:r>
          <m:t>3</m:t>
        </m:r>
      </m:oMath>
      <w:r>
        <w:t xml:space="preserve"> </w:t>
      </w:r>
      <w:r>
        <w:t xml:space="preserve">to</w:t>
      </w:r>
      <w:r>
        <w:t xml:space="preserve"> </w:t>
      </w:r>
      <m:oMath>
        <m:r>
          <m:t>N</m:t>
        </m:r>
        <m:r>
          <m:rPr>
            <m:sty m:val="p"/>
          </m:rPr>
          <m:t>=</m:t>
        </m:r>
        <m:r>
          <m:t>10</m:t>
        </m:r>
      </m:oMath>
      <w:r>
        <w:t xml:space="preserve"> </w:t>
      </w:r>
      <w:r>
        <w:t xml:space="preserve">stories without manual reconfiguration.</w:t>
      </w:r>
    </w:p>
    <w:p>
      <w:pPr>
        <w:numPr>
          <w:ilvl w:val="0"/>
          <w:numId w:val="1002"/>
        </w:numPr>
      </w:pPr>
      <w:r>
        <w:t xml:space="preserve">Train a PgNN using FEM-derived physics tensors as training signal, targeting</w:t>
      </w:r>
      <w:r>
        <w:t xml:space="preserve"> </w:t>
      </w:r>
      <m:oMath>
        <m:sSup>
          <m:e>
            <m:r>
              <m:t>R</m:t>
            </m:r>
          </m:e>
          <m:sup>
            <m:r>
              <m:t>2</m:t>
            </m:r>
          </m:sup>
        </m:sSup>
        <m:r>
          <m:rPr>
            <m:sty m:val="p"/>
          </m:rPr>
          <m:t>≥</m:t>
        </m:r>
        <m:r>
          <m:t>0.70</m:t>
        </m:r>
      </m:oMath>
      <w:r>
        <w:t xml:space="preserve"> </w:t>
      </w:r>
      <w:r>
        <w:t xml:space="preserve">and RMSE below 1% across both building heights.</w:t>
      </w:r>
    </w:p>
    <w:p>
      <w:pPr>
        <w:numPr>
          <w:ilvl w:val="0"/>
          <w:numId w:val="1002"/>
        </w:numPr>
      </w:pPr>
      <w:r>
        <w:t xml:space="preserve">Characterize the per-story accuracy profile and its relationship to</w:t>
      </w:r>
      <w:r>
        <w:t xml:space="preserve"> </w:t>
      </w:r>
      <w:r>
        <w:t xml:space="preserve">higher-mode participation (the whiplash effect).</w:t>
      </w:r>
    </w:p>
    <w:p>
      <w:pPr>
        <w:numPr>
          <w:ilvl w:val="0"/>
          <w:numId w:val="1002"/>
        </w:numPr>
      </w:pPr>
      <w:r>
        <w:t xml:space="preserve">Demonstrate CPU inference latency compatible with real-time structural</w:t>
      </w:r>
      <w:r>
        <w:t xml:space="preserve"> </w:t>
      </w:r>
      <w:r>
        <w:t xml:space="preserve">health monitoring (</w:t>
      </w:r>
      <m:oMath>
        <m:r>
          <m:rPr>
            <m:sty m:val="p"/>
          </m:rPr>
          <m:t>≤</m:t>
        </m:r>
        <m:r>
          <m:t>100</m:t>
        </m:r>
      </m:oMath>
      <w:r>
        <w:t xml:space="preserve"> </w:t>
      </w:r>
      <w:r>
        <w:t xml:space="preserve">ms).</w:t>
      </w:r>
    </w:p>
    <w:p>
      <w:r>
        <w:pict>
          <v:rect style="width:0;height:1.5pt" o:hralign="center" o:hrstd="t" o:hr="t"/>
        </w:pict>
      </w:r>
    </w:p>
    <w:bookmarkEnd w:id="13"/>
    <w:bookmarkStart w:id="27" w:name="materials-and-methods"/>
    <w:p>
      <w:pPr>
        <w:pStyle w:val="Heading1"/>
      </w:pPr>
      <w:r>
        <w:t xml:space="preserve">3. Materials and Methods</w:t>
      </w:r>
    </w:p>
    <w:bookmarkStart w:id="16" w:name="structural-model"/>
    <w:p>
      <w:pPr>
        <w:pStyle w:val="Heading2"/>
      </w:pPr>
      <w:r>
        <w:t xml:space="preserve">3.1 Structural Model</w:t>
      </w:r>
    </w:p>
    <w:p>
      <w:pPr>
        <w:pStyle w:val="FirstParagraph"/>
      </w:pPr>
      <w:r>
        <w:t xml:space="preserve">The reference dataset is generated using high-fidelity Nonlinear Time History</w:t>
      </w:r>
      <w:r>
        <w:t xml:space="preserve"> </w:t>
      </w:r>
      <w:r>
        <w:t xml:space="preserve">Analysis (NLTHA) implemented in OpenSeesPy [1, 19]. The structural system consists of</w:t>
      </w:r>
      <w:r>
        <w:t xml:space="preserve"> </w:t>
      </w:r>
      <w:r>
        <w:t xml:space="preserve">a parametric reinforced concrete (RC) plane frame with</w:t>
      </w:r>
      <w:r>
        <w:t xml:space="preserve"> </w:t>
      </w:r>
      <m:oMath>
        <m:r>
          <m:t>N</m:t>
        </m:r>
      </m:oMath>
      <w:r>
        <w:t xml:space="preserve"> </w:t>
      </w:r>
      <w:r>
        <w:t xml:space="preserve">stories and 3 bays,</w:t>
      </w:r>
      <w:r>
        <w:t xml:space="preserve"> </w:t>
      </w:r>
      <w:r>
        <w:t xml:space="preserve">where</w:t>
      </w:r>
      <w:r>
        <w:t xml:space="preserve"> </w:t>
      </w:r>
      <m:oMath>
        <m:r>
          <m:t>N</m:t>
        </m:r>
      </m:oMath>
      <w:r>
        <w:t xml:space="preserve"> </w:t>
      </w:r>
      <w:r>
        <w:t xml:space="preserve">is a runtime argument validated by the centralized configuration system</w:t>
      </w:r>
      <w:r>
        <w:t xml:space="preserve"> </w:t>
      </w:r>
      <w:r>
        <w:t xml:space="preserve">(Section 3.6). Two building heights were studied: a 3-story low-rise frame</w:t>
      </w:r>
      <w:r>
        <w:t xml:space="preserve"> </w:t>
      </w:r>
      <w:r>
        <w:t xml:space="preserve">(</w:t>
      </w:r>
      <m:oMath>
        <m:r>
          <m:t>N</m:t>
        </m:r>
        <m:r>
          <m:rPr>
            <m:sty m:val="p"/>
          </m:rPr>
          <m:t>=</m:t>
        </m:r>
        <m:r>
          <m:t>3</m:t>
        </m:r>
      </m:oMath>
      <w:r>
        <w:t xml:space="preserve">) for primary model validation, and a 10-story mid-rise frame (</w:t>
      </w:r>
      <m:oMath>
        <m:r>
          <m:t>N</m:t>
        </m:r>
        <m:r>
          <m:rPr>
            <m:sty m:val="p"/>
          </m:rPr>
          <m:t>=</m:t>
        </m:r>
        <m:r>
          <m:t>10</m:t>
        </m:r>
      </m:oMath>
      <w:r>
        <w:t xml:space="preserve">) for</w:t>
      </w:r>
      <w:r>
        <w:t xml:space="preserve"> </w:t>
      </w:r>
      <w:r>
        <w:t xml:space="preserve">scalability assessment under higher-mode dominated seismic response.</w:t>
      </w:r>
    </w:p>
    <w:bookmarkStart w:id="14" w:name="finite-element-implementation"/>
    <w:p>
      <w:pPr>
        <w:pStyle w:val="Heading3"/>
      </w:pPr>
      <w:r>
        <w:t xml:space="preserve">3.1.1 Finite Element Implementation</w:t>
      </w:r>
    </w:p>
    <w:p>
      <w:pPr>
        <w:pStyle w:val="FirstParagraph"/>
      </w:pPr>
      <w:r>
        <w:t xml:space="preserve">Structural nonlinearity is modeled using</w:t>
      </w:r>
      <w:r>
        <w:t xml:space="preserve"> </w:t>
      </w:r>
      <w:r>
        <w:rPr>
          <w:b/>
          <w:bCs/>
        </w:rPr>
        <w:t xml:space="preserve">force-based beam-column elements</w:t>
      </w:r>
      <w:r>
        <w:t xml:space="preserve"> </w:t>
      </w:r>
      <w:r>
        <w:t xml:space="preserve">(</w:t>
      </w:r>
      <w:r>
        <w:rPr>
          <w:rStyle w:val="VerbatimChar"/>
        </w:rPr>
        <w:t xml:space="preserve">forceBeamColumn</w:t>
      </w:r>
      <w:r>
        <w:t xml:space="preserve">) with 5-point Gauss-Lobatto integration along the element</w:t>
      </w:r>
      <w:r>
        <w:t xml:space="preserve"> </w:t>
      </w:r>
      <w:r>
        <w:t xml:space="preserve">length — a formulation that avoids the localization issues inherent in</w:t>
      </w:r>
      <w:r>
        <w:t xml:space="preserve"> </w:t>
      </w:r>
      <w:r>
        <w:t xml:space="preserve">displacement-based elements and provides section-level plastic hinge resolution</w:t>
      </w:r>
      <w:r>
        <w:t xml:space="preserve"> </w:t>
      </w:r>
      <w:r>
        <w:t xml:space="preserve">without mesh refinement. Material nonlinearity is captured through</w:t>
      </w:r>
      <w:r>
        <w:t xml:space="preserve"> </w:t>
      </w:r>
      <w:r>
        <w:t xml:space="preserve">fiber-discretized cross-sections with the following constitutive assignments:</w:t>
      </w:r>
    </w:p>
    <w:p>
      <w:pPr>
        <w:numPr>
          <w:ilvl w:val="0"/>
          <w:numId w:val="1003"/>
        </w:numPr>
      </w:pPr>
      <w:r>
        <w:rPr>
          <w:b/>
          <w:bCs/>
        </w:rPr>
        <w:t xml:space="preserve">Confined concrete</w:t>
      </w:r>
      <w:r>
        <w:t xml:space="preserve"> </w:t>
      </w:r>
      <w:r>
        <w:t xml:space="preserve">(</w:t>
      </w:r>
      <w:r>
        <w:rPr>
          <w:rStyle w:val="VerbatimChar"/>
        </w:rPr>
        <w:t xml:space="preserve">Concrete02</w:t>
      </w:r>
      <w:r>
        <w:t xml:space="preserve">): Mander’s confinement model with</w:t>
      </w:r>
      <w:r>
        <w:t xml:space="preserve"> </w:t>
      </w:r>
      <m:oMath>
        <m:sSubSup>
          <m:e>
            <m:r>
              <m:t>f</m:t>
            </m:r>
          </m:e>
          <m:sub>
            <m:r>
              <m:t>c</m:t>
            </m:r>
            <m:r>
              <m:t>c</m:t>
            </m:r>
          </m:sub>
          <m:sup>
            <m:r>
              <m:rPr>
                <m:sty m:val="p"/>
              </m:rPr>
              <m:t>′</m:t>
            </m:r>
          </m:sup>
        </m:sSubSup>
        <m:r>
          <m:rPr>
            <m:sty m:val="p"/>
          </m:rPr>
          <m:t>=</m:t>
        </m:r>
        <m:sSub>
          <m:e>
            <m:r>
              <m:t>κ</m:t>
            </m:r>
          </m:e>
          <m:sub>
            <m:r>
              <m:t>c</m:t>
            </m:r>
          </m:sub>
        </m:sSub>
        <m:sSubSup>
          <m:e>
            <m:r>
              <m:t>f</m:t>
            </m:r>
          </m:e>
          <m:sub>
            <m:r>
              <m:t>c</m:t>
            </m:r>
          </m:sub>
          <m:sup>
            <m:r>
              <m:rPr>
                <m:sty m:val="p"/>
              </m:rPr>
              <m:t>′</m:t>
            </m:r>
          </m:sup>
        </m:sSubSup>
      </m:oMath>
      <w:r>
        <w:t xml:space="preserve"> </w:t>
      </w:r>
      <w:r>
        <w:t xml:space="preserve">where</w:t>
      </w:r>
      <w:r>
        <w:t xml:space="preserve"> </w:t>
      </w:r>
      <m:oMath>
        <m:sSub>
          <m:e>
            <m:r>
              <m:t>κ</m:t>
            </m:r>
          </m:e>
          <m:sub>
            <m:r>
              <m:t>c</m:t>
            </m:r>
          </m:sub>
        </m:sSub>
        <m:r>
          <m:rPr>
            <m:sty m:val="p"/>
          </m:rPr>
          <m:t>≈</m:t>
        </m:r>
        <m:r>
          <m:t>1.3</m:t>
        </m:r>
      </m:oMath>
      <w:r>
        <w:t xml:space="preserve"> </w:t>
      </w:r>
      <w:r>
        <w:t xml:space="preserve">for the interior</w:t>
      </w:r>
      <w:r>
        <w:t xml:space="preserve"> </w:t>
      </w:r>
      <w:r>
        <w:t xml:space="preserve">confined core, transitioning to unconfined cover properties at the boundary</w:t>
      </w:r>
      <w:r>
        <w:t xml:space="preserve"> </w:t>
      </w:r>
      <w:r>
        <w:t xml:space="preserve">fibers. Cyclic stiffness degradation and crack-closing stiffness are</w:t>
      </w:r>
      <w:r>
        <w:t xml:space="preserve"> </w:t>
      </w:r>
      <w:r>
        <w:t xml:space="preserve">modeled via the linear tension stiffening parameter</w:t>
      </w:r>
      <w:r>
        <w:t xml:space="preserve"> </w:t>
      </w:r>
      <m:oMath>
        <m:r>
          <m:t>λ</m:t>
        </m:r>
      </m:oMath>
      <w:r>
        <w:t xml:space="preserve"> </w:t>
      </w:r>
      <w:r>
        <w:t xml:space="preserve">[7].</w:t>
      </w:r>
    </w:p>
    <w:p>
      <w:pPr>
        <w:numPr>
          <w:ilvl w:val="0"/>
          <w:numId w:val="1003"/>
        </w:numPr>
      </w:pPr>
      <w:r>
        <w:rPr>
          <w:b/>
          <w:bCs/>
        </w:rPr>
        <w:t xml:space="preserve">Longitudinal reinforcement</w:t>
      </w:r>
      <w:r>
        <w:t xml:space="preserve"> </w:t>
      </w:r>
      <w:r>
        <w:t xml:space="preserve">(</w:t>
      </w:r>
      <w:r>
        <w:rPr>
          <w:rStyle w:val="VerbatimChar"/>
        </w:rPr>
        <w:t xml:space="preserve">Steel02</w:t>
      </w:r>
      <w:r>
        <w:t xml:space="preserve">): Giuffré-Menegotto-Pinto model</w:t>
      </w:r>
      <w:r>
        <w:t xml:space="preserve"> </w:t>
      </w:r>
      <w:r>
        <w:t xml:space="preserve">for smooth cyclic hardening with isotropic strain hardening ratio</w:t>
      </w:r>
      <w:r>
        <w:t xml:space="preserve"> </w:t>
      </w:r>
      <m:oMath>
        <m:r>
          <m:t>b</m:t>
        </m:r>
        <m:r>
          <m:rPr>
            <m:sty m:val="p"/>
          </m:rPr>
          <m:t>=</m:t>
        </m:r>
        <m:r>
          <m:t>0.01</m:t>
        </m:r>
      </m:oMath>
      <w:r>
        <w:t xml:space="preserve"> </w:t>
      </w:r>
      <w:r>
        <w:t xml:space="preserve">and curvature parameters</w:t>
      </w:r>
      <w:r>
        <w:t xml:space="preserve"> </w:t>
      </w:r>
      <m:oMath>
        <m:sSub>
          <m:e>
            <m:r>
              <m:t>R</m:t>
            </m:r>
          </m:e>
          <m:sub>
            <m:r>
              <m:t>0</m:t>
            </m:r>
          </m:sub>
        </m:sSub>
        <m:r>
          <m:rPr>
            <m:sty m:val="p"/>
          </m:rPr>
          <m:t>=</m:t>
        </m:r>
        <m:r>
          <m:t>18</m:t>
        </m:r>
      </m:oMath>
      <w:r>
        <w:t xml:space="preserve">,</w:t>
      </w:r>
      <w:r>
        <w:t xml:space="preserve"> </w:t>
      </w:r>
      <m:oMath>
        <m:r>
          <m:t>c</m:t>
        </m:r>
        <m:sSub>
          <m:e>
            <m:r>
              <m:t>R</m:t>
            </m:r>
          </m:e>
          <m:sub>
            <m:r>
              <m:t>1</m:t>
            </m:r>
          </m:sub>
        </m:sSub>
        <m:r>
          <m:rPr>
            <m:sty m:val="p"/>
          </m:rPr>
          <m:t>=</m:t>
        </m:r>
        <m:r>
          <m:t>0.925</m:t>
        </m:r>
      </m:oMath>
      <w:r>
        <w:t xml:space="preserve">,</w:t>
      </w:r>
      <w:r>
        <w:t xml:space="preserve"> </w:t>
      </w:r>
      <m:oMath>
        <m:r>
          <m:t>c</m:t>
        </m:r>
        <m:sSub>
          <m:e>
            <m:r>
              <m:t>R</m:t>
            </m:r>
          </m:e>
          <m:sub>
            <m:r>
              <m:t>2</m:t>
            </m:r>
          </m:sub>
        </m:sSub>
        <m:r>
          <m:rPr>
            <m:sty m:val="p"/>
          </m:rPr>
          <m:t>=</m:t>
        </m:r>
        <m:r>
          <m:t>0.15</m:t>
        </m:r>
      </m:oMath>
      <w:r>
        <w:t xml:space="preserve"> </w:t>
      </w:r>
      <w:r>
        <w:t xml:space="preserve">[8].</w:t>
      </w:r>
    </w:p>
    <w:p>
      <w:pPr>
        <w:numPr>
          <w:ilvl w:val="0"/>
          <w:numId w:val="1003"/>
        </w:numPr>
      </w:pPr>
      <w:r>
        <w:rPr>
          <w:b/>
          <w:bCs/>
        </w:rPr>
        <w:t xml:space="preserve">Mass</w:t>
      </w:r>
      <w:r>
        <w:t xml:space="preserve">: Lumped at beam-column nodes as per seismic design standards</w:t>
      </w:r>
      <w:r>
        <w:t xml:space="preserve"> </w:t>
      </w:r>
      <w:r>
        <w:t xml:space="preserve">(ACI 318-19 [5]), computed from tributary area and dead load assumptions.</w:t>
      </w:r>
    </w:p>
    <w:p>
      <w:pPr>
        <w:pStyle w:val="FirstParagraph"/>
      </w:pPr>
      <w:r>
        <w:rPr>
          <w:b/>
          <w:bCs/>
        </w:rPr>
        <w:t xml:space="preserve">Rayleigh damping</w:t>
      </w:r>
      <w:r>
        <w:t xml:space="preserve"> </w:t>
      </w:r>
      <w:r>
        <w:t xml:space="preserve">is assigned with 5% critical damping at the first and</w:t>
      </w:r>
      <w:r>
        <w:t xml:space="preserve"> </w:t>
      </w:r>
      <w:r>
        <w:t xml:space="preserve">third modal periods, consistent with code-level design practice for RC frames.</w:t>
      </w:r>
      <w:r>
        <w:t xml:space="preserve"> </w:t>
      </w:r>
      <w:r>
        <w:t xml:space="preserve">P-Delta geometric nonlinearity is activated via the</w:t>
      </w:r>
      <w:r>
        <w:t xml:space="preserve"> </w:t>
      </w:r>
      <w:r>
        <w:rPr>
          <w:rStyle w:val="VerbatimChar"/>
        </w:rPr>
        <w:t xml:space="preserve">PDelta</w:t>
      </w:r>
      <w:r>
        <w:t xml:space="preserve"> </w:t>
      </w:r>
      <w:r>
        <w:t xml:space="preserve">transformation.</w:t>
      </w:r>
    </w:p>
    <w:bookmarkEnd w:id="14"/>
    <w:bookmarkStart w:id="15" w:name="structural-configuration"/>
    <w:p>
      <w:pPr>
        <w:pStyle w:val="Heading3"/>
      </w:pPr>
      <w:r>
        <w:t xml:space="preserve">3.1.2 Structural Configuration</w:t>
      </w:r>
    </w:p>
    <w:p>
      <w:pPr>
        <w:pStyle w:val="FirstParagraph"/>
      </w:pPr>
      <w:r>
        <w:t xml:space="preserve">For</w:t>
      </w:r>
      <w:r>
        <w:t xml:space="preserve"> </w:t>
      </w:r>
      <m:oMath>
        <m:r>
          <m:t>N</m:t>
        </m:r>
        <m:r>
          <m:rPr>
            <m:sty m:val="p"/>
          </m:rPr>
          <m:t>=</m:t>
        </m:r>
        <m:r>
          <m:t>3</m:t>
        </m:r>
      </m:oMath>
      <w:r>
        <w:t xml:space="preserve">: uniform column sections (</w:t>
      </w:r>
      <m:oMath>
        <m:r>
          <m:t>400</m:t>
        </m:r>
        <m:r>
          <m:rPr>
            <m:sty m:val="p"/>
          </m:rPr>
          <m:t>×</m:t>
        </m:r>
        <m:r>
          <m:t>400</m:t>
        </m:r>
      </m:oMath>
      <w:r>
        <w:t xml:space="preserve"> </w:t>
      </w:r>
      <w:r>
        <w:t xml:space="preserve">mm,</w:t>
      </w:r>
      <w:r>
        <w:t xml:space="preserve"> </w:t>
      </w:r>
      <m:oMath>
        <m:sSub>
          <m:e>
            <m:r>
              <m:t>ρ</m:t>
            </m:r>
          </m:e>
          <m:sub>
            <m:r>
              <m:t>l</m:t>
            </m:r>
          </m:sub>
        </m:sSub>
        <m:r>
          <m:rPr>
            <m:sty m:val="p"/>
          </m:rPr>
          <m:t>=</m:t>
        </m:r>
        <m:r>
          <m:t>2</m:t>
        </m:r>
        <m:r>
          <m:rPr>
            <m:sty m:val="p"/>
          </m:rPr>
          <m:t>%</m:t>
        </m:r>
      </m:oMath>
      <w:r>
        <w:t xml:space="preserve">),</w:t>
      </w:r>
      <w:r>
        <w:t xml:space="preserve"> </w:t>
      </w:r>
      <w:r>
        <w:t xml:space="preserve">story height 3.5 m (first story) and 3.0 m (upper stories), bay width 5.0 m.</w:t>
      </w:r>
    </w:p>
    <w:p>
      <w:pPr>
        <w:pStyle w:val="BodyText"/>
      </w:pPr>
      <w:r>
        <w:t xml:space="preserve">For</w:t>
      </w:r>
      <w:r>
        <w:t xml:space="preserve"> </w:t>
      </w:r>
      <m:oMath>
        <m:r>
          <m:t>N</m:t>
        </m:r>
        <m:r>
          <m:rPr>
            <m:sty m:val="p"/>
          </m:rPr>
          <m:t>=</m:t>
        </m:r>
        <m:r>
          <m:t>10</m:t>
        </m:r>
      </m:oMath>
      <w:r>
        <w:t xml:space="preserve">: tapering column sections (</w:t>
      </w:r>
      <m:oMath>
        <m:r>
          <m:t>700</m:t>
        </m:r>
        <m:r>
          <m:rPr>
            <m:sty m:val="p"/>
          </m:rPr>
          <m:t>×</m:t>
        </m:r>
        <m:r>
          <m:t>700</m:t>
        </m:r>
      </m:oMath>
      <w:r>
        <w:t xml:space="preserve"> </w:t>
      </w:r>
      <w:r>
        <w:t xml:space="preserve">mm at grade</w:t>
      </w:r>
      <w:r>
        <w:t xml:space="preserve"> </w:t>
      </w:r>
      <m:oMath>
        <m:r>
          <m:rPr>
            <m:sty m:val="p"/>
          </m:rPr>
          <m:t>→</m:t>
        </m:r>
      </m:oMath>
      <w:r>
        <w:t xml:space="preserve"> </w:t>
      </w:r>
      <m:oMath>
        <m:r>
          <m:t>500</m:t>
        </m:r>
        <m:r>
          <m:rPr>
            <m:sty m:val="p"/>
          </m:rPr>
          <m:t>×</m:t>
        </m:r>
        <m:r>
          <m:t>500</m:t>
        </m:r>
      </m:oMath>
      <w:r>
        <w:t xml:space="preserve"> </w:t>
      </w:r>
      <w:r>
        <w:t xml:space="preserve">mm at roof), with longitudinal reinforcement ratios decreasing</w:t>
      </w:r>
      <w:r>
        <w:t xml:space="preserve"> </w:t>
      </w:r>
      <w:r>
        <w:t xml:space="preserve">from</w:t>
      </w:r>
      <w:r>
        <w:t xml:space="preserve"> </w:t>
      </w:r>
      <m:oMath>
        <m:sSub>
          <m:e>
            <m:r>
              <m:t>ρ</m:t>
            </m:r>
          </m:e>
          <m:sub>
            <m:r>
              <m:t>l</m:t>
            </m:r>
          </m:sub>
        </m:sSub>
        <m:r>
          <m:rPr>
            <m:sty m:val="p"/>
          </m:rPr>
          <m:t>=</m:t>
        </m:r>
        <m:r>
          <m:t>2.5</m:t>
        </m:r>
        <m:r>
          <m:rPr>
            <m:sty m:val="p"/>
          </m:rPr>
          <m:t>%</m:t>
        </m:r>
      </m:oMath>
      <w:r>
        <w:t xml:space="preserve"> </w:t>
      </w:r>
      <w:r>
        <w:t xml:space="preserve">to</w:t>
      </w:r>
      <w:r>
        <w:t xml:space="preserve"> </w:t>
      </w:r>
      <m:oMath>
        <m:sSub>
          <m:e>
            <m:r>
              <m:t>ρ</m:t>
            </m:r>
          </m:e>
          <m:sub>
            <m:r>
              <m:t>l</m:t>
            </m:r>
          </m:sub>
        </m:sSub>
        <m:r>
          <m:rPr>
            <m:sty m:val="p"/>
          </m:rPr>
          <m:t>=</m:t>
        </m:r>
        <m:r>
          <m:t>1.5</m:t>
        </m:r>
        <m:r>
          <m:rPr>
            <m:sty m:val="p"/>
          </m:rPr>
          <m:t>%</m:t>
        </m:r>
      </m:oMath>
      <w:r>
        <w:t xml:space="preserve"> </w:t>
      </w:r>
      <w:r>
        <w:t xml:space="preserve">to simulate realistic design</w:t>
      </w:r>
      <w:r>
        <w:t xml:space="preserve"> </w:t>
      </w:r>
      <w:r>
        <w:t xml:space="preserve">practice for mid-rise RC buildings (Figure 2).</w:t>
      </w:r>
    </w:p>
    <w:tbl>
      <w:tblPr>
        <w:tblStyle w:val="FigureTable"/>
        <w:tblW w:type="auto" w:w="0"/>
        <w:jc w:val="center"/>
        <w:tblLook w:firstRow="0" w:lastRow="0" w:firstColumn="0" w:lastColumn="0"/>
      </w:tblPr>
      <w:tblGrid>
        <w:gridCol w:w="7920"/>
      </w:tblGrid>
      <w:tr>
        <w:tc>
          <w:tcPr/>
          <w:p>
            <w:pPr>
              <w:pStyle w:val="Compact"/>
              <w:jc w:val="center"/>
            </w:pPr>
            <w:r>
              <w:t xml:space="preserve">RC frame schematic</w:t>
            </w:r>
          </w:p>
        </w:tc>
      </w:tr>
    </w:tbl>
    <w:p>
      <w:pPr>
        <w:pStyle w:val="ImageCaption"/>
      </w:pPr>
      <w:r>
        <w:t xml:space="preserve">RC frame schematic</w:t>
      </w:r>
    </w:p>
    <w:p>
      <w:pPr>
        <w:pStyle w:val="BodyText"/>
      </w:pPr>
      <w:r>
        <w:t xml:space="preserve">Figure 2. Parametric RC frame configurations: (a) 3-story uniform frame (</w:t>
      </w:r>
      <m:oMath>
        <m:r>
          <m:t>N</m:t>
        </m:r>
        <m:r>
          <m:rPr>
            <m:sty m:val="p"/>
          </m:rPr>
          <m:t>=</m:t>
        </m:r>
        <m:r>
          <m:t>3</m:t>
        </m:r>
      </m:oMath>
      <w:r>
        <w:t xml:space="preserve">);</w:t>
      </w:r>
      <w:r>
        <w:t xml:space="preserve"> </w:t>
      </w:r>
      <w:r>
        <w:t xml:space="preserve">(b) 10-story frame with tapering sections (</w:t>
      </w:r>
      <m:oMath>
        <m:r>
          <m:t>N</m:t>
        </m:r>
        <m:r>
          <m:rPr>
            <m:sty m:val="p"/>
          </m:rPr>
          <m:t>=</m:t>
        </m:r>
        <m:r>
          <m:t>10</m:t>
        </m:r>
      </m:oMath>
      <w:r>
        <w:t xml:space="preserve">) — orange band marks the</w:t>
      </w:r>
      <w:r>
        <w:t xml:space="preserve"> </w:t>
      </w:r>
      <w:r>
        <w:t xml:space="preserve">Floors 8–10 whiplash zone; (c) fiber section cross-section detail showing</w:t>
      </w:r>
      <w:r>
        <w:t xml:space="preserve"> </w:t>
      </w:r>
      <w:r>
        <w:t xml:space="preserve">unconfined cover (Concrete02), confined core (Mander confinement), and</w:t>
      </w:r>
      <w:r>
        <w:t xml:space="preserve"> </w:t>
      </w:r>
      <w:r>
        <w:t xml:space="preserve">longitudinal reinforcement (Steel02 / Giuffré-Menegotto-Pinto).</w:t>
      </w:r>
    </w:p>
    <w:bookmarkEnd w:id="15"/>
    <w:bookmarkEnd w:id="16"/>
    <w:bookmarkStart w:id="20" w:name="ground-motion-selection"/>
    <w:p>
      <w:pPr>
        <w:pStyle w:val="Heading2"/>
      </w:pPr>
      <w:r>
        <w:t xml:space="preserve">3.2 Ground Motion Selection</w:t>
      </w:r>
    </w:p>
    <w:p>
      <w:pPr>
        <w:pStyle w:val="FirstParagraph"/>
      </w:pPr>
      <w:r>
        <w:t xml:space="preserve">Ground motion records were obtained from the PEER NGA-West2 database [2], the</w:t>
      </w:r>
      <w:r>
        <w:t xml:space="preserve"> </w:t>
      </w:r>
      <w:r>
        <w:t xml:space="preserve">most comprehensive publicly available collection of processed strong-motion</w:t>
      </w:r>
      <w:r>
        <w:t xml:space="preserve"> </w:t>
      </w:r>
      <w:r>
        <w:t xml:space="preserve">recordings from shallow crustal earthquakes in active tectonic regimes.</w:t>
      </w:r>
    </w:p>
    <w:bookmarkStart w:id="17" w:name="selection-criteria"/>
    <w:p>
      <w:pPr>
        <w:pStyle w:val="Heading3"/>
      </w:pPr>
      <w:r>
        <w:t xml:space="preserve">3.2.1 Selection Criteria</w:t>
      </w:r>
    </w:p>
    <w:p>
      <w:pPr>
        <w:pStyle w:val="FirstParagraph"/>
      </w:pPr>
      <w:r>
        <w:t xml:space="preserve">Records were selected using the following engineering criteria, consistent with</w:t>
      </w:r>
      <w:r>
        <w:t xml:space="preserve"> </w:t>
      </w:r>
      <w:r>
        <w:t xml:space="preserve">ASCE 7-22 [18] §16.2 requirements for nonlinear response-history analysis:</w:t>
      </w:r>
    </w:p>
    <w:p>
      <w:pPr>
        <w:pStyle w:val="BodyText"/>
      </w:pPr>
      <w:r>
        <w:rPr>
          <w:b/>
          <w:bCs/>
        </w:rPr>
        <w:t xml:space="preserve">Table 1.</w:t>
      </w:r>
      <w:r>
        <w:t xml:space="preserve"> </w:t>
      </w:r>
      <w:r>
        <w:t xml:space="preserve">Ground motion selection criteria (PEER NGA-West2 [2], ASCE 7-22).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Range</w:t>
            </w:r>
          </w:p>
        </w:tc>
        <w:tc>
          <w:tcPr/>
          <w:p>
            <w:pPr>
              <w:pStyle w:val="Compact"/>
              <w:jc w:val="left"/>
            </w:pPr>
            <w:r>
              <w:t xml:space="preserve">Rationale</w:t>
            </w:r>
          </w:p>
        </w:tc>
      </w:tr>
      <w:tr>
        <w:tc>
          <w:tcPr/>
          <w:p>
            <w:pPr>
              <w:pStyle w:val="Compact"/>
              <w:jc w:val="left"/>
            </w:pPr>
            <w:r>
              <w:t xml:space="preserve">Moment magnitude (</w:t>
            </w:r>
            <m:oMath>
              <m:sSub>
                <m:e>
                  <m:r>
                    <m:t>M</m:t>
                  </m:r>
                </m:e>
                <m:sub>
                  <m:r>
                    <m:t>w</m:t>
                  </m:r>
                </m:sub>
              </m:sSub>
            </m:oMath>
            <w:r>
              <w:t xml:space="preserve">)</w:t>
            </w:r>
          </w:p>
        </w:tc>
        <w:tc>
          <w:tcPr/>
          <w:p>
            <w:pPr>
              <w:pStyle w:val="Compact"/>
              <w:jc w:val="left"/>
            </w:pPr>
            <w:r>
              <w:t xml:space="preserve">6.0 – 7.5</w:t>
            </w:r>
          </w:p>
        </w:tc>
        <w:tc>
          <w:tcPr/>
          <w:p>
            <w:pPr>
              <w:pStyle w:val="Compact"/>
              <w:jc w:val="left"/>
            </w:pPr>
            <w:r>
              <w:t xml:space="preserve">Destructive events governing code-level design</w:t>
            </w:r>
          </w:p>
        </w:tc>
      </w:tr>
      <w:tr>
        <w:tc>
          <w:tcPr/>
          <w:p>
            <w:pPr>
              <w:pStyle w:val="Compact"/>
              <w:jc w:val="left"/>
            </w:pPr>
            <w:r>
              <w:t xml:space="preserve">Joyner-Boore distance (</w:t>
            </w:r>
            <m:oMath>
              <m:sSub>
                <m:e>
                  <m:r>
                    <m:t>R</m:t>
                  </m:r>
                </m:e>
                <m:sub>
                  <m:r>
                    <m:t>j</m:t>
                  </m:r>
                  <m:r>
                    <m:t>b</m:t>
                  </m:r>
                </m:sub>
              </m:sSub>
            </m:oMath>
            <w:r>
              <w:t xml:space="preserve">)</w:t>
            </w:r>
          </w:p>
        </w:tc>
        <w:tc>
          <w:tcPr/>
          <w:p>
            <w:pPr>
              <w:pStyle w:val="Compact"/>
              <w:jc w:val="left"/>
            </w:pPr>
            <w:r>
              <w:t xml:space="preserve">10 – 50 km</w:t>
            </w:r>
          </w:p>
        </w:tc>
        <w:tc>
          <w:tcPr/>
          <w:p>
            <w:pPr>
              <w:pStyle w:val="Compact"/>
              <w:jc w:val="left"/>
            </w:pPr>
            <w:r>
              <w:t xml:space="preserve">Near-to-moderate field; avoids directivity and attenuation artifacts</w:t>
            </w:r>
          </w:p>
        </w:tc>
      </w:tr>
      <w:tr>
        <w:tc>
          <w:tcPr/>
          <w:p>
            <w:pPr>
              <w:pStyle w:val="Compact"/>
              <w:jc w:val="left"/>
            </w:pPr>
            <w:r>
              <w:t xml:space="preserve">Shear-wave velocity (</w:t>
            </w:r>
            <m:oMath>
              <m:sSub>
                <m:e>
                  <m:r>
                    <m:t>V</m:t>
                  </m:r>
                </m:e>
                <m:sub>
                  <m:r>
                    <m:t>s</m:t>
                  </m:r>
                  <m:r>
                    <m:t>30</m:t>
                  </m:r>
                </m:sub>
              </m:sSub>
            </m:oMath>
            <w:r>
              <w:t xml:space="preserve">)</w:t>
            </w:r>
          </w:p>
        </w:tc>
        <w:tc>
          <w:tcPr/>
          <w:p>
            <w:pPr>
              <w:pStyle w:val="Compact"/>
              <w:jc w:val="left"/>
            </w:pPr>
            <w:r>
              <w:t xml:space="preserve">180 – 760 m/s</w:t>
            </w:r>
          </w:p>
        </w:tc>
        <w:tc>
          <w:tcPr/>
          <w:p>
            <w:pPr>
              <w:pStyle w:val="Compact"/>
              <w:jc w:val="left"/>
            </w:pPr>
            <w:r>
              <w:t xml:space="preserve">NEHRP site classes C–D (stiff soil to soft rock)</w:t>
            </w:r>
          </w:p>
        </w:tc>
      </w:tr>
      <w:tr>
        <w:tc>
          <w:tcPr/>
          <w:p>
            <w:pPr>
              <w:pStyle w:val="Compact"/>
              <w:jc w:val="left"/>
            </w:pPr>
            <w:r>
              <w:t xml:space="preserve">Fault mechanism</w:t>
            </w:r>
          </w:p>
        </w:tc>
        <w:tc>
          <w:tcPr/>
          <w:p>
            <w:pPr>
              <w:pStyle w:val="Compact"/>
              <w:jc w:val="left"/>
            </w:pPr>
            <w:r>
              <w:t xml:space="preserve">All types</w:t>
            </w:r>
          </w:p>
        </w:tc>
        <w:tc>
          <w:tcPr/>
          <w:p>
            <w:pPr>
              <w:pStyle w:val="Compact"/>
              <w:jc w:val="left"/>
            </w:pPr>
            <w:r>
              <w:t xml:space="preserve">Variability across strike-slip, reverse, and normal faulting</w:t>
            </w:r>
          </w:p>
        </w:tc>
      </w:tr>
    </w:tbl>
    <w:p>
      <w:pPr>
        <w:pStyle w:val="BodyText"/>
      </w:pPr>
      <w:r>
        <w:t xml:space="preserve">The search yielded 100 unique seismic events (identified by Record Sequence</w:t>
      </w:r>
      <w:r>
        <w:t xml:space="preserve"> </w:t>
      </w:r>
      <w:r>
        <w:t xml:space="preserve">Number, RSN), providing 299 ground motion components. All records were</w:t>
      </w:r>
      <w:r>
        <w:t xml:space="preserve"> </w:t>
      </w:r>
      <w:r>
        <w:t xml:space="preserve">downloaded in unscaled AT2 format and subsequently scaled to match the</w:t>
      </w:r>
      <w:r>
        <w:t xml:space="preserve"> </w:t>
      </w:r>
      <w:r>
        <w:t xml:space="preserve">site-specific ASCE 7-22 design spectrum (</w:t>
      </w:r>
      <m:oMath>
        <m:sSub>
          <m:e>
            <m:r>
              <m:t>S</m:t>
            </m:r>
          </m:e>
          <m:sub>
            <m:r>
              <m:t>D</m:t>
            </m:r>
            <m:r>
              <m:t>S</m:t>
            </m:r>
          </m:sub>
        </m:sSub>
        <m:r>
          <m:rPr>
            <m:sty m:val="p"/>
          </m:rPr>
          <m:t>=</m:t>
        </m:r>
        <m:r>
          <m:t>1.0</m:t>
        </m:r>
      </m:oMath>
      <w:r>
        <w:t xml:space="preserve"> </w:t>
      </w:r>
      <w:r>
        <w:t xml:space="preserve">g,</w:t>
      </w:r>
      <w:r>
        <w:t xml:space="preserve"> </w:t>
      </w:r>
      <m:oMath>
        <m:sSub>
          <m:e>
            <m:r>
              <m:t>S</m:t>
            </m:r>
          </m:e>
          <m:sub>
            <m:r>
              <m:t>D</m:t>
            </m:r>
            <m:r>
              <m:t>1</m:t>
            </m:r>
          </m:sub>
        </m:sSub>
        <m:r>
          <m:rPr>
            <m:sty m:val="p"/>
          </m:rPr>
          <m:t>=</m:t>
        </m:r>
        <m:r>
          <m:t>0.6</m:t>
        </m:r>
      </m:oMath>
      <w:r>
        <w:t xml:space="preserve"> </w:t>
      </w:r>
      <w:r>
        <w:t xml:space="preserve">g)</w:t>
      </w:r>
      <w:r>
        <w:t xml:space="preserve"> </w:t>
      </w:r>
      <w:r>
        <w:t xml:space="preserve">using the minimum scaling factor procedure, with a maximum allowable scale</w:t>
      </w:r>
      <w:r>
        <w:t xml:space="preserve"> </w:t>
      </w:r>
      <w:r>
        <w:t xml:space="preserve">factor of 5.0 to limit spectral shape distortion.</w:t>
      </w:r>
    </w:p>
    <w:bookmarkEnd w:id="17"/>
    <w:bookmarkStart w:id="18" w:name="input-feature-pipeline"/>
    <w:p>
      <w:pPr>
        <w:pStyle w:val="Heading3"/>
      </w:pPr>
      <w:r>
        <w:t xml:space="preserve">3.2.2 Input Feature Pipeline</w:t>
      </w:r>
    </w:p>
    <w:p>
      <w:pPr>
        <w:pStyle w:val="FirstParagraph"/>
      </w:pPr>
      <w:r>
        <w:t xml:space="preserve">Each AT2 record is preprocessed into a fixed-length input tensor</w:t>
      </w:r>
      <w:r>
        <w:t xml:space="preserve"> </w:t>
      </w:r>
      <m:oMath>
        <m:r>
          <m:rPr>
            <m:sty m:val="bi"/>
          </m:rPr>
          <m:t>x</m:t>
        </m:r>
        <m:r>
          <m:rPr>
            <m:sty m:val="p"/>
          </m:rPr>
          <m:t>∈</m:t>
        </m:r>
        <m:sSup>
          <m:e>
            <m:r>
              <m:rPr>
                <m:scr m:val="double-struck"/>
                <m:sty m:val="p"/>
              </m:rPr>
              <m:t>R</m:t>
            </m:r>
          </m:e>
          <m:sup>
            <m:r>
              <m:t>1</m:t>
            </m:r>
            <m:r>
              <m:rPr>
                <m:sty m:val="p"/>
              </m:rPr>
              <m:t>×</m:t>
            </m:r>
            <m:r>
              <m:t>T</m:t>
            </m:r>
          </m:sup>
        </m:sSup>
      </m:oMath>
      <w:r>
        <w:t xml:space="preserve"> </w:t>
      </w:r>
      <w:r>
        <w:t xml:space="preserve">via the following steps:</w:t>
      </w:r>
    </w:p>
    <w:p>
      <w:pPr>
        <w:pStyle w:val="Compact"/>
        <w:numPr>
          <w:ilvl w:val="0"/>
          <w:numId w:val="1004"/>
        </w:numPr>
      </w:pPr>
      <w:r>
        <w:rPr>
          <w:b/>
          <w:bCs/>
        </w:rPr>
        <w:t xml:space="preserve">Unit conversion</w:t>
      </w:r>
      <w:r>
        <w:t xml:space="preserve">: Raw acceleration (</w:t>
      </w:r>
      <w:r>
        <w:rPr>
          <w:i/>
          <w:iCs/>
        </w:rPr>
        <w:t xml:space="preserve">g</w:t>
      </w:r>
      <w:r>
        <w:t xml:space="preserve">) converted to m/s².</w:t>
      </w:r>
    </w:p>
    <w:p>
      <w:pPr>
        <w:pStyle w:val="Compact"/>
        <w:numPr>
          <w:ilvl w:val="0"/>
          <w:numId w:val="1004"/>
        </w:numPr>
      </w:pPr>
      <w:r>
        <w:rPr>
          <w:b/>
          <w:bCs/>
        </w:rPr>
        <w:t xml:space="preserve">Resampling</w:t>
      </w:r>
      <w:r>
        <w:t xml:space="preserve">: Linear interpolation to a uniform time step</w:t>
      </w:r>
      <w:r>
        <w:t xml:space="preserve"> </w:t>
      </w:r>
      <m:oMath>
        <m:r>
          <m:rPr>
            <m:sty m:val="p"/>
          </m:rPr>
          <m:t>Δ</m:t>
        </m:r>
        <m:r>
          <m:t>t</m:t>
        </m:r>
        <m:r>
          <m:rPr>
            <m:sty m:val="p"/>
          </m:rPr>
          <m:t>=</m:t>
        </m:r>
        <m:r>
          <m:t>0.01</m:t>
        </m:r>
      </m:oMath>
      <w:r>
        <w:t xml:space="preserve"> </w:t>
      </w:r>
      <w:r>
        <w:t xml:space="preserve">s (consistent with the NLTHA integration step).</w:t>
      </w:r>
    </w:p>
    <w:p>
      <w:pPr>
        <w:pStyle w:val="Compact"/>
        <w:numPr>
          <w:ilvl w:val="0"/>
          <w:numId w:val="1004"/>
        </w:numPr>
      </w:pPr>
      <w:r>
        <w:rPr>
          <w:b/>
          <w:bCs/>
        </w:rPr>
        <w:t xml:space="preserve">Zero-padding or truncation</w:t>
      </w:r>
      <w:r>
        <w:t xml:space="preserve">: Signal length adjusted to</w:t>
      </w:r>
      <w:r>
        <w:t xml:space="preserve"> </w:t>
      </w:r>
      <m:oMath>
        <m:r>
          <m:t>T</m:t>
        </m:r>
        <m:r>
          <m:rPr>
            <m:sty m:val="p"/>
          </m:rPr>
          <m:t>=</m:t>
        </m:r>
        <m:r>
          <m:t>2048</m:t>
        </m:r>
      </m:oMath>
      <w:r>
        <w:t xml:space="preserve"> </w:t>
      </w:r>
      <w:r>
        <w:t xml:space="preserve">samples</w:t>
      </w:r>
      <w:r>
        <w:t xml:space="preserve"> </w:t>
      </w:r>
      <w:r>
        <w:t xml:space="preserve">(20.48 s), covering the strong-motion duration of all selected records.</w:t>
      </w:r>
    </w:p>
    <w:p>
      <w:pPr>
        <w:pStyle w:val="Compact"/>
        <w:numPr>
          <w:ilvl w:val="0"/>
          <w:numId w:val="1004"/>
        </w:numPr>
      </w:pPr>
      <w:r>
        <w:rPr>
          <w:b/>
          <w:bCs/>
        </w:rPr>
        <w:t xml:space="preserve">Standardization</w:t>
      </w:r>
      <w:r>
        <w:t xml:space="preserve">: Zero-mean, unit-variance normalization using statistics</w:t>
      </w:r>
      <w:r>
        <w:t xml:space="preserve"> </w:t>
      </w:r>
      <w:r>
        <w:t xml:space="preserve">computed on the training split only, applied to validation and test splits</w:t>
      </w:r>
      <w:r>
        <w:t xml:space="preserve"> </w:t>
      </w:r>
      <w:r>
        <w:t xml:space="preserve">without leakage.</w:t>
      </w:r>
    </w:p>
    <w:p>
      <w:pPr>
        <w:pStyle w:val="FirstParagraph"/>
      </w:pPr>
      <w:r>
        <w:t xml:space="preserve">The preprocessing pipeline is implemented in</w:t>
      </w:r>
      <w:r>
        <w:t xml:space="preserve"> </w:t>
      </w:r>
      <w:r>
        <w:rPr>
          <w:rStyle w:val="VerbatimChar"/>
        </w:rPr>
        <w:t xml:space="preserve">src/preprocessing/pipeline.py</w:t>
      </w:r>
      <w:r>
        <w:t xml:space="preserve"> </w:t>
      </w:r>
      <w:r>
        <w:t xml:space="preserve">and serializes scaler parameters to</w:t>
      </w:r>
      <w:r>
        <w:t xml:space="preserve"> </w:t>
      </w:r>
      <w:r>
        <w:rPr>
          <w:rStyle w:val="VerbatimChar"/>
        </w:rPr>
        <w:t xml:space="preserve">scaler_params.json</w:t>
      </w:r>
      <w:r>
        <w:t xml:space="preserve"> </w:t>
      </w:r>
      <w:r>
        <w:t xml:space="preserve">for deterministic</w:t>
      </w:r>
      <w:r>
        <w:t xml:space="preserve"> </w:t>
      </w:r>
      <w:r>
        <w:t xml:space="preserve">denormalization during inference.</w:t>
      </w:r>
    </w:p>
    <w:bookmarkEnd w:id="18"/>
    <w:bookmarkStart w:id="19" w:name="data-augmentation-strategy"/>
    <w:p>
      <w:pPr>
        <w:pStyle w:val="Heading3"/>
      </w:pPr>
      <w:r>
        <w:t xml:space="preserve">3.2.3 Data Augmentation Strategy</w:t>
      </w:r>
    </w:p>
    <w:p>
      <w:pPr>
        <w:pStyle w:val="FirstParagraph"/>
      </w:pPr>
      <w:r>
        <w:t xml:space="preserve">To expand the effective training set beyond the 203 base training records,</w:t>
      </w:r>
      <w:r>
        <w:t xml:space="preserve"> </w:t>
      </w:r>
      <w:r>
        <w:t xml:space="preserve">three augmentation techniques are applied:</w:t>
      </w:r>
    </w:p>
    <w:p>
      <w:pPr>
        <w:pStyle w:val="Compact"/>
        <w:numPr>
          <w:ilvl w:val="0"/>
          <w:numId w:val="1005"/>
        </w:numPr>
      </w:pPr>
      <w:r>
        <w:rPr>
          <w:b/>
          <w:bCs/>
        </w:rPr>
        <w:t xml:space="preserve">Temporal windowing</w:t>
      </w:r>
      <w:r>
        <w:t xml:space="preserve">: Overlapping sub-windows of the strong-motion</w:t>
      </w:r>
      <w:r>
        <w:t xml:space="preserve"> </w:t>
      </w:r>
      <w:r>
        <w:t xml:space="preserve">duration increase temporal diversity within each record.</w:t>
      </w:r>
    </w:p>
    <w:p>
      <w:pPr>
        <w:pStyle w:val="Compact"/>
        <w:numPr>
          <w:ilvl w:val="0"/>
          <w:numId w:val="1005"/>
        </w:numPr>
      </w:pPr>
      <w:r>
        <w:rPr>
          <w:b/>
          <w:bCs/>
        </w:rPr>
        <w:t xml:space="preserve">Amplitude scaling</w:t>
      </w:r>
      <w:r>
        <w:t xml:space="preserve">: Random PGA scaling within</w:t>
      </w:r>
      <w:r>
        <w:t xml:space="preserve"> </w:t>
      </w:r>
      <m:oMath>
        <m:r>
          <m:rPr>
            <m:sty m:val="p"/>
          </m:rPr>
          <m:t>±</m:t>
        </m:r>
        <m:r>
          <m:t>20</m:t>
        </m:r>
        <m:r>
          <m:rPr>
            <m:sty m:val="p"/>
          </m:rPr>
          <m:t>%</m:t>
        </m:r>
      </m:oMath>
      <w:r>
        <w:t xml:space="preserve"> </w:t>
      </w:r>
      <w:r>
        <w:t xml:space="preserve">of the</w:t>
      </w:r>
      <w:r>
        <w:t xml:space="preserve"> </w:t>
      </w:r>
      <w:r>
        <w:t xml:space="preserve">original value simulates intensity variability at the training site.</w:t>
      </w:r>
    </w:p>
    <w:p>
      <w:pPr>
        <w:pStyle w:val="Compact"/>
        <w:numPr>
          <w:ilvl w:val="0"/>
          <w:numId w:val="1005"/>
        </w:numPr>
      </w:pPr>
      <w:r>
        <w:rPr>
          <w:b/>
          <w:bCs/>
        </w:rPr>
        <w:t xml:space="preserve">Gaussian noise injection</w:t>
      </w:r>
      <w:r>
        <w:t xml:space="preserve">: Additive noise (</w:t>
      </w:r>
      <m:oMath>
        <m:r>
          <m:t>σ</m:t>
        </m:r>
        <m:r>
          <m:rPr>
            <m:sty m:val="p"/>
          </m:rPr>
          <m:t>=</m:t>
        </m:r>
        <m:r>
          <m:t>0.01</m:t>
        </m:r>
      </m:oMath>
      <w:r>
        <w:t xml:space="preserve"> </w:t>
      </w:r>
      <w:r>
        <w:t xml:space="preserve">g) improves</w:t>
      </w:r>
      <w:r>
        <w:t xml:space="preserve"> </w:t>
      </w:r>
      <w:r>
        <w:t xml:space="preserve">robustness against accelerometer measurement uncertainty.</w:t>
      </w:r>
    </w:p>
    <w:p>
      <w:pPr>
        <w:pStyle w:val="FirstParagraph"/>
      </w:pPr>
      <w:r>
        <w:t xml:space="preserve">These techniques transform 203 base records into 5,058 training samples</w:t>
      </w:r>
      <w:r>
        <w:t xml:space="preserve"> </w:t>
      </w:r>
      <w:r>
        <w:t xml:space="preserve">(augmentation ratio 24.9:1), providing sufficient statistical robustness</w:t>
      </w:r>
      <w:r>
        <w:t xml:space="preserve"> </w:t>
      </w:r>
      <w:r>
        <w:t xml:space="preserve">for the PgNN across magnitudes, distances, and site conditions.</w:t>
      </w:r>
    </w:p>
    <w:bookmarkEnd w:id="19"/>
    <w:bookmarkEnd w:id="20"/>
    <w:bookmarkStart w:id="21" w:name="pgnn-architecture"/>
    <w:p>
      <w:pPr>
        <w:pStyle w:val="Heading2"/>
      </w:pPr>
      <w:r>
        <w:t xml:space="preserve">3.3 PgNN Architecture</w:t>
      </w:r>
    </w:p>
    <w:p>
      <w:pPr>
        <w:pStyle w:val="FirstParagraph"/>
      </w:pPr>
      <w:r>
        <w:t xml:space="preserve">The Hybrid PgNN is a</w:t>
      </w:r>
      <w:r>
        <w:t xml:space="preserve"> </w:t>
      </w:r>
      <w:r>
        <w:rPr>
          <w:b/>
          <w:bCs/>
        </w:rPr>
        <w:t xml:space="preserve">Convolutional-Attentive Regressor</w:t>
      </w:r>
      <w:r>
        <w:t xml:space="preserve"> </w:t>
      </w:r>
      <w:r>
        <w:t xml:space="preserve">that maps a</w:t>
      </w:r>
      <w:r>
        <w:t xml:space="preserve"> </w:t>
      </w:r>
      <w:r>
        <w:t xml:space="preserve">ground acceleration time-series</w:t>
      </w:r>
      <w:r>
        <w:t xml:space="preserve"> </w:t>
      </w:r>
      <m:oMath>
        <m:sSub>
          <m:e>
            <m:acc>
              <m:accPr>
                <m:chr m:val="̈"/>
              </m:accPr>
              <m:e>
                <m:r>
                  <m:t>u</m:t>
                </m:r>
              </m:e>
            </m:acc>
          </m:e>
          <m:sub>
            <m:r>
              <m:t>g</m:t>
            </m:r>
          </m:sub>
        </m:sSub>
        <m:r>
          <m:rPr>
            <m:sty m:val="p"/>
          </m:rPr>
          <m:t>(</m:t>
        </m:r>
        <m:r>
          <m:t>t</m:t>
        </m:r>
        <m:r>
          <m:rPr>
            <m:sty m:val="p"/>
          </m:rPr>
          <m:t>)</m:t>
        </m:r>
        <m:r>
          <m:rPr>
            <m:sty m:val="p"/>
          </m:rPr>
          <m:t>∈</m:t>
        </m:r>
        <m:sSup>
          <m:e>
            <m:r>
              <m:rPr>
                <m:scr m:val="double-struck"/>
                <m:sty m:val="p"/>
              </m:rPr>
              <m:t>R</m:t>
            </m:r>
          </m:e>
          <m:sup>
            <m:r>
              <m:t>T</m:t>
            </m:r>
          </m:sup>
        </m:sSup>
      </m:oMath>
      <w:r>
        <w:t xml:space="preserve"> </w:t>
      </w:r>
      <w:r>
        <w:t xml:space="preserve">to the</w:t>
      </w:r>
      <w:r>
        <w:t xml:space="preserve"> </w:t>
      </w:r>
      <w:r>
        <w:t xml:space="preserve">vector of peak inter-story drift ratios (IDR)</w:t>
      </w:r>
      <w:r>
        <w:t xml:space="preserve"> </w:t>
      </w:r>
      <m:oMath>
        <m:acc>
          <m:accPr>
            <m:chr m:val="̂"/>
          </m:accPr>
          <m:e>
            <m:r>
              <m:rPr>
                <m:sty m:val="bi"/>
              </m:rPr>
              <m:t>y</m:t>
            </m:r>
          </m:e>
        </m:acc>
        <m:r>
          <m:rPr>
            <m:sty m:val="p"/>
          </m:rPr>
          <m:t>∈</m:t>
        </m:r>
        <m:sSup>
          <m:e>
            <m:r>
              <m:rPr>
                <m:scr m:val="double-struck"/>
                <m:sty m:val="p"/>
              </m:rPr>
              <m:t>R</m:t>
            </m:r>
          </m:e>
          <m:sup>
            <m:r>
              <m:t>N</m:t>
            </m:r>
          </m:sup>
        </m:sSup>
      </m:oMath>
      <w:r>
        <w:t xml:space="preserve"> </w:t>
      </w:r>
      <w:r>
        <w:t xml:space="preserve">— one scalar per story. The architecture is fully parametric: only the output</w:t>
      </w:r>
      <w:r>
        <w:t xml:space="preserve"> </w:t>
      </w:r>
      <w:r>
        <w:t xml:space="preserve">head dimension changes with</w:t>
      </w:r>
      <w:r>
        <w:t xml:space="preserve"> </w:t>
      </w:r>
      <m:oMath>
        <m:r>
          <m:t>N</m:t>
        </m:r>
      </m:oMath>
      <w:r>
        <w:t xml:space="preserve">, leaving the encoder weights transferable</w:t>
      </w:r>
      <w:r>
        <w:t xml:space="preserve"> </w:t>
      </w:r>
      <w:r>
        <w:t xml:space="preserve">across building heights without retraining.</w:t>
      </w:r>
    </w:p>
    <w:p>
      <w:pPr>
        <w:pStyle w:val="BodyText"/>
      </w:pPr>
      <w:r>
        <w:rPr>
          <w:b/>
          <w:bCs/>
        </w:rPr>
        <w:t xml:space="preserve">Table 2.</w:t>
      </w:r>
      <w:r>
        <w:t xml:space="preserve"> </w:t>
      </w:r>
      <w:r>
        <w:t xml:space="preserve">Hybrid PgNN architecture specification.</w:t>
      </w:r>
      <w:r>
        <w:t xml:space="preserve"> </w:t>
      </w:r>
      <m:oMath>
        <m:r>
          <m:t>B</m:t>
        </m:r>
      </m:oMath>
      <w:r>
        <w:t xml:space="preserve">: batch size;</w:t>
      </w:r>
      <w:r>
        <w:t xml:space="preserve"> </w:t>
      </w:r>
      <m:oMath>
        <m:r>
          <m:t>N</m:t>
        </m:r>
      </m:oMath>
      <w:r>
        <w:t xml:space="preserve">:</w:t>
      </w:r>
      <w:r>
        <w:t xml:space="preserve"> </w:t>
      </w:r>
      <w:r>
        <w:t xml:space="preserve">stories (parametric, validated at</w:t>
      </w:r>
      <w:r>
        <w:t xml:space="preserve"> </w:t>
      </w:r>
      <m:oMath>
        <m:r>
          <m:t>N</m:t>
        </m:r>
        <m:r>
          <m:rPr>
            <m:sty m:val="p"/>
          </m:rPr>
          <m:t>=</m:t>
        </m:r>
        <m:r>
          <m:t>3</m:t>
        </m:r>
      </m:oMath>
      <w:r>
        <w:t xml:space="preserve"> </w:t>
      </w:r>
      <w:r>
        <w:t xml:space="preserve">and</w:t>
      </w:r>
      <w:r>
        <w:t xml:space="preserve"> </w:t>
      </w:r>
      <m:oMath>
        <m:r>
          <m:t>N</m:t>
        </m:r>
        <m:r>
          <m:rPr>
            <m:sty m:val="p"/>
          </m:rPr>
          <m:t>=</m:t>
        </m:r>
        <m:r>
          <m:t>10</m:t>
        </m:r>
      </m:oMath>
      <w:r>
        <w:t xml:space="preserve">);</w:t>
      </w:r>
      <w:r>
        <w:t xml:space="preserve"> </w:t>
      </w:r>
      <m:oMath>
        <m:r>
          <m:t>T</m:t>
        </m:r>
        <m:r>
          <m:rPr>
            <m:sty m:val="p"/>
          </m:rPr>
          <m:t>=</m:t>
        </m:r>
        <m:r>
          <m:t>2048</m:t>
        </m:r>
      </m:oMath>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Configuration</w:t>
            </w:r>
          </w:p>
        </w:tc>
        <w:tc>
          <w:tcPr/>
          <w:p>
            <w:pPr>
              <w:pStyle w:val="Compact"/>
              <w:jc w:val="left"/>
            </w:pPr>
            <w:r>
              <w:t xml:space="preserve">Output Shape</w:t>
            </w:r>
          </w:p>
        </w:tc>
      </w:tr>
      <w:tr>
        <w:tc>
          <w:tcPr/>
          <w:p>
            <w:pPr>
              <w:pStyle w:val="Compact"/>
              <w:jc w:val="left"/>
            </w:pPr>
            <w:r>
              <w:rPr>
                <w:i/>
                <w:iCs/>
              </w:rPr>
              <w:t xml:space="preserve">Input</w:t>
            </w:r>
          </w:p>
        </w:tc>
        <w:tc>
          <w:tcPr/>
          <w:p>
            <w:pPr>
              <w:pStyle w:val="Compact"/>
              <w:jc w:val="left"/>
            </w:pPr>
            <w:r>
              <w:t xml:space="preserve">Ground acceleration</w:t>
            </w:r>
            <w:r>
              <w:t xml:space="preserve"> </w:t>
            </w:r>
            <m:oMath>
              <m:sSub>
                <m:e>
                  <m:acc>
                    <m:accPr>
                      <m:chr m:val="̈"/>
                    </m:accPr>
                    <m:e>
                      <m:r>
                        <m:t>u</m:t>
                      </m:r>
                    </m:e>
                  </m:acc>
                </m:e>
                <m:sub>
                  <m:r>
                    <m:t>g</m:t>
                  </m:r>
                </m:sub>
              </m:sSub>
              <m:r>
                <m:rPr>
                  <m:sty m:val="p"/>
                </m:rPr>
                <m:t>(</m:t>
              </m:r>
              <m:r>
                <m:t>t</m:t>
              </m:r>
              <m:r>
                <m:rPr>
                  <m:sty m:val="p"/>
                </m:rPr>
                <m:t>)</m:t>
              </m:r>
            </m:oMath>
          </w:p>
        </w:tc>
        <w:tc>
          <w:tcPr/>
          <w:p>
            <w:pPr>
              <w:pStyle w:val="Compact"/>
              <w:jc w:val="left"/>
            </w:pPr>
            <m:oMath>
              <m:r>
                <m:rPr>
                  <m:sty m:val="p"/>
                </m:rPr>
                <m:t>(</m:t>
              </m:r>
              <m:r>
                <m:t>B</m:t>
              </m:r>
              <m:r>
                <m:rPr>
                  <m:sty m:val="p"/>
                </m:rPr>
                <m:t>,</m:t>
              </m:r>
              <m:r>
                <m:t> </m:t>
              </m:r>
              <m:r>
                <m:t>1</m:t>
              </m:r>
              <m:r>
                <m:rPr>
                  <m:sty m:val="p"/>
                </m:rPr>
                <m:t>,</m:t>
              </m:r>
              <m:r>
                <m:t> </m:t>
              </m:r>
              <m:r>
                <m:t>T</m:t>
              </m:r>
              <m:r>
                <m:rPr>
                  <m:sty m:val="p"/>
                </m:rPr>
                <m:t>)</m:t>
              </m:r>
            </m:oMath>
          </w:p>
        </w:tc>
      </w:tr>
      <w:tr>
        <w:tc>
          <w:tcPr/>
          <w:p>
            <w:pPr>
              <w:pStyle w:val="Compact"/>
              <w:jc w:val="left"/>
            </w:pPr>
            <w:r>
              <w:t xml:space="preserve">Conv Block 1</w:t>
            </w:r>
          </w:p>
        </w:tc>
        <w:tc>
          <w:tcPr/>
          <w:p>
            <w:pPr>
              <w:pStyle w:val="Compact"/>
              <w:jc w:val="left"/>
            </w:pPr>
            <m:oMath>
              <m:r>
                <m:t>1</m:t>
              </m:r>
              <m:r>
                <m:t>​</m:t>
              </m:r>
              <m:r>
                <m:rPr>
                  <m:sty m:val="p"/>
                </m:rPr>
                <m:t>→</m:t>
              </m:r>
              <m:r>
                <m:t>​</m:t>
              </m:r>
              <m:r>
                <m:t>32</m:t>
              </m:r>
            </m:oMath>
            <w:r>
              <w:t xml:space="preserve"> </w:t>
            </w:r>
            <w:r>
              <w:t xml:space="preserve">channels,</w:t>
            </w:r>
            <w:r>
              <w:t xml:space="preserve"> </w:t>
            </w:r>
            <m:oMath>
              <m:r>
                <m:t>k</m:t>
              </m:r>
              <m:r>
                <m:rPr>
                  <m:sty m:val="p"/>
                </m:rPr>
                <m:t>=</m:t>
              </m:r>
              <m:r>
                <m:t>7</m:t>
              </m:r>
            </m:oMath>
            <w:r>
              <w:t xml:space="preserve">,</w:t>
            </w:r>
            <w:r>
              <w:t xml:space="preserve"> </w:t>
            </w:r>
            <m:oMath>
              <m:r>
                <m:t>s</m:t>
              </m:r>
              <m:r>
                <m:rPr>
                  <m:sty m:val="p"/>
                </m:rPr>
                <m:t>=</m:t>
              </m:r>
              <m:r>
                <m:t>2</m:t>
              </m:r>
            </m:oMath>
            <w:r>
              <w:t xml:space="preserve">, BatchNorm + ReLU</w:t>
            </w:r>
          </w:p>
        </w:tc>
        <w:tc>
          <w:tcPr/>
          <w:p>
            <w:pPr>
              <w:pStyle w:val="Compact"/>
              <w:jc w:val="left"/>
            </w:pPr>
            <m:oMath>
              <m:r>
                <m:rPr>
                  <m:sty m:val="p"/>
                </m:rPr>
                <m:t>(</m:t>
              </m:r>
              <m:r>
                <m:t>B</m:t>
              </m:r>
              <m:r>
                <m:rPr>
                  <m:sty m:val="p"/>
                </m:rPr>
                <m:t>,</m:t>
              </m:r>
              <m:r>
                <m:t> </m:t>
              </m:r>
              <m:r>
                <m:t>32</m:t>
              </m:r>
              <m:r>
                <m:rPr>
                  <m:sty m:val="p"/>
                </m:rPr>
                <m:t>,</m:t>
              </m:r>
              <m:r>
                <m:t> </m:t>
              </m:r>
              <m:r>
                <m:t>T</m:t>
              </m:r>
              <m:r>
                <m:rPr>
                  <m:sty m:val="p"/>
                </m:rPr>
                <m:t>/</m:t>
              </m:r>
              <m:r>
                <m:t>2</m:t>
              </m:r>
              <m:r>
                <m:rPr>
                  <m:sty m:val="p"/>
                </m:rPr>
                <m:t>)</m:t>
              </m:r>
            </m:oMath>
          </w:p>
        </w:tc>
      </w:tr>
      <w:tr>
        <w:tc>
          <w:tcPr/>
          <w:p>
            <w:pPr>
              <w:pStyle w:val="Compact"/>
              <w:jc w:val="left"/>
            </w:pPr>
            <w:r>
              <w:t xml:space="preserve">Conv Block 2</w:t>
            </w:r>
          </w:p>
        </w:tc>
        <w:tc>
          <w:tcPr/>
          <w:p>
            <w:pPr>
              <w:pStyle w:val="Compact"/>
              <w:jc w:val="left"/>
            </w:pPr>
            <m:oMath>
              <m:r>
                <m:t>32</m:t>
              </m:r>
              <m:r>
                <m:t>​</m:t>
              </m:r>
              <m:r>
                <m:rPr>
                  <m:sty m:val="p"/>
                </m:rPr>
                <m:t>→</m:t>
              </m:r>
              <m:r>
                <m:t>​</m:t>
              </m:r>
              <m:r>
                <m:t>64</m:t>
              </m:r>
            </m:oMath>
            <w:r>
              <w:t xml:space="preserve"> </w:t>
            </w:r>
            <w:r>
              <w:t xml:space="preserve">channels,</w:t>
            </w:r>
            <w:r>
              <w:t xml:space="preserve"> </w:t>
            </w:r>
            <m:oMath>
              <m:r>
                <m:t>k</m:t>
              </m:r>
              <m:r>
                <m:rPr>
                  <m:sty m:val="p"/>
                </m:rPr>
                <m:t>=</m:t>
              </m:r>
              <m:r>
                <m:t>5</m:t>
              </m:r>
            </m:oMath>
            <w:r>
              <w:t xml:space="preserve">,</w:t>
            </w:r>
            <w:r>
              <w:t xml:space="preserve"> </w:t>
            </w:r>
            <m:oMath>
              <m:r>
                <m:t>s</m:t>
              </m:r>
              <m:r>
                <m:rPr>
                  <m:sty m:val="p"/>
                </m:rPr>
                <m:t>=</m:t>
              </m:r>
              <m:r>
                <m:t>2</m:t>
              </m:r>
            </m:oMath>
            <w:r>
              <w:t xml:space="preserve">, BatchNorm + ReLU</w:t>
            </w:r>
          </w:p>
        </w:tc>
        <w:tc>
          <w:tcPr/>
          <w:p>
            <w:pPr>
              <w:pStyle w:val="Compact"/>
              <w:jc w:val="left"/>
            </w:pPr>
            <m:oMath>
              <m:r>
                <m:rPr>
                  <m:sty m:val="p"/>
                </m:rPr>
                <m:t>(</m:t>
              </m:r>
              <m:r>
                <m:t>B</m:t>
              </m:r>
              <m:r>
                <m:rPr>
                  <m:sty m:val="p"/>
                </m:rPr>
                <m:t>,</m:t>
              </m:r>
              <m:r>
                <m:t> </m:t>
              </m:r>
              <m:r>
                <m:t>64</m:t>
              </m:r>
              <m:r>
                <m:rPr>
                  <m:sty m:val="p"/>
                </m:rPr>
                <m:t>,</m:t>
              </m:r>
              <m:r>
                <m:t> </m:t>
              </m:r>
              <m:r>
                <m:t>T</m:t>
              </m:r>
              <m:r>
                <m:rPr>
                  <m:sty m:val="p"/>
                </m:rPr>
                <m:t>/</m:t>
              </m:r>
              <m:r>
                <m:t>4</m:t>
              </m:r>
              <m:r>
                <m:rPr>
                  <m:sty m:val="p"/>
                </m:rPr>
                <m:t>)</m:t>
              </m:r>
            </m:oMath>
          </w:p>
        </w:tc>
      </w:tr>
      <w:tr>
        <w:tc>
          <w:tcPr/>
          <w:p>
            <w:pPr>
              <w:pStyle w:val="Compact"/>
              <w:jc w:val="left"/>
            </w:pPr>
            <w:r>
              <w:t xml:space="preserve">Conv Block 3</w:t>
            </w:r>
          </w:p>
        </w:tc>
        <w:tc>
          <w:tcPr/>
          <w:p>
            <w:pPr>
              <w:pStyle w:val="Compact"/>
              <w:jc w:val="left"/>
            </w:pPr>
            <m:oMath>
              <m:r>
                <m:t>64</m:t>
              </m:r>
              <m:r>
                <m:t>​</m:t>
              </m:r>
              <m:r>
                <m:rPr>
                  <m:sty m:val="p"/>
                </m:rPr>
                <m:t>→</m:t>
              </m:r>
              <m:r>
                <m:t>​</m:t>
              </m:r>
              <m:r>
                <m:t>128</m:t>
              </m:r>
            </m:oMath>
            <w:r>
              <w:t xml:space="preserve"> </w:t>
            </w:r>
            <w:r>
              <w:t xml:space="preserve">channels,</w:t>
            </w:r>
            <w:r>
              <w:t xml:space="preserve"> </w:t>
            </w:r>
            <m:oMath>
              <m:r>
                <m:t>k</m:t>
              </m:r>
              <m:r>
                <m:rPr>
                  <m:sty m:val="p"/>
                </m:rPr>
                <m:t>=</m:t>
              </m:r>
              <m:r>
                <m:t>3</m:t>
              </m:r>
            </m:oMath>
            <w:r>
              <w:t xml:space="preserve">,</w:t>
            </w:r>
            <w:r>
              <w:t xml:space="preserve"> </w:t>
            </w:r>
            <m:oMath>
              <m:r>
                <m:t>s</m:t>
              </m:r>
              <m:r>
                <m:rPr>
                  <m:sty m:val="p"/>
                </m:rPr>
                <m:t>=</m:t>
              </m:r>
              <m:r>
                <m:t>2</m:t>
              </m:r>
            </m:oMath>
            <w:r>
              <w:t xml:space="preserve">, BatchNorm + ReLU</w:t>
            </w:r>
          </w:p>
        </w:tc>
        <w:tc>
          <w:tcPr/>
          <w:p>
            <w:pPr>
              <w:pStyle w:val="Compact"/>
              <w:jc w:val="left"/>
            </w:pPr>
            <m:oMath>
              <m:r>
                <m:rPr>
                  <m:sty m:val="p"/>
                </m:rPr>
                <m:t>(</m:t>
              </m:r>
              <m:r>
                <m:t>B</m:t>
              </m:r>
              <m:r>
                <m:rPr>
                  <m:sty m:val="p"/>
                </m:rPr>
                <m:t>,</m:t>
              </m:r>
              <m:r>
                <m:t> </m:t>
              </m:r>
              <m:r>
                <m:t>128</m:t>
              </m:r>
              <m:r>
                <m:rPr>
                  <m:sty m:val="p"/>
                </m:rPr>
                <m:t>,</m:t>
              </m:r>
              <m:r>
                <m:t> </m:t>
              </m:r>
              <m:r>
                <m:t>T</m:t>
              </m:r>
              <m:r>
                <m:rPr>
                  <m:sty m:val="p"/>
                </m:rPr>
                <m:t>/</m:t>
              </m:r>
              <m:r>
                <m:t>8</m:t>
              </m:r>
              <m:r>
                <m:rPr>
                  <m:sty m:val="p"/>
                </m:rPr>
                <m:t>)</m:t>
              </m:r>
            </m:oMath>
          </w:p>
        </w:tc>
      </w:tr>
      <w:tr>
        <w:tc>
          <w:tcPr/>
          <w:p>
            <w:pPr>
              <w:pStyle w:val="Compact"/>
              <w:jc w:val="left"/>
            </w:pPr>
            <w:r>
              <w:t xml:space="preserve">Self-Attention</w:t>
            </w:r>
          </w:p>
        </w:tc>
        <w:tc>
          <w:tcPr/>
          <w:p>
            <w:pPr>
              <w:pStyle w:val="Compact"/>
              <w:jc w:val="left"/>
            </w:pPr>
            <w:r>
              <w:t xml:space="preserve">4 heads, embed_dim</w:t>
            </w:r>
            <w:r>
              <w:t xml:space="preserve"> </w:t>
            </w:r>
            <m:oMath>
              <m:r>
                <m:rPr>
                  <m:sty m:val="p"/>
                </m:rPr>
                <m:t>=</m:t>
              </m:r>
              <m:r>
                <m:t>128</m:t>
              </m:r>
            </m:oMath>
            <w:r>
              <w:t xml:space="preserve"> </w:t>
            </w:r>
            <w:r>
              <w:t xml:space="preserve">(v1.6)</w:t>
            </w:r>
          </w:p>
        </w:tc>
        <w:tc>
          <w:tcPr/>
          <w:p>
            <w:pPr>
              <w:pStyle w:val="Compact"/>
              <w:jc w:val="left"/>
            </w:pPr>
            <m:oMath>
              <m:r>
                <m:rPr>
                  <m:sty m:val="p"/>
                </m:rPr>
                <m:t>(</m:t>
              </m:r>
              <m:r>
                <m:t>B</m:t>
              </m:r>
              <m:r>
                <m:rPr>
                  <m:sty m:val="p"/>
                </m:rPr>
                <m:t>,</m:t>
              </m:r>
              <m:r>
                <m:t> </m:t>
              </m:r>
              <m:r>
                <m:t>128</m:t>
              </m:r>
              <m:r>
                <m:rPr>
                  <m:sty m:val="p"/>
                </m:rPr>
                <m:t>,</m:t>
              </m:r>
              <m:r>
                <m:t> </m:t>
              </m:r>
              <m:r>
                <m:t>T</m:t>
              </m:r>
              <m:r>
                <m:rPr>
                  <m:sty m:val="p"/>
                </m:rPr>
                <m:t>/</m:t>
              </m:r>
              <m:r>
                <m:t>8</m:t>
              </m:r>
              <m:r>
                <m:rPr>
                  <m:sty m:val="p"/>
                </m:rPr>
                <m:t>)</m:t>
              </m:r>
            </m:oMath>
          </w:p>
        </w:tc>
      </w:tr>
      <w:tr>
        <w:tc>
          <w:tcPr/>
          <w:p>
            <w:pPr>
              <w:pStyle w:val="Compact"/>
              <w:jc w:val="left"/>
            </w:pPr>
            <w:r>
              <w:t xml:space="preserve">Global Avg. Pool</w:t>
            </w:r>
          </w:p>
        </w:tc>
        <w:tc>
          <w:tcPr/>
          <w:p>
            <w:pPr>
              <w:pStyle w:val="Compact"/>
              <w:jc w:val="left"/>
            </w:pPr>
            <w:r>
              <w:t xml:space="preserve">Temporal pooling over</w:t>
            </w:r>
            <w:r>
              <w:t xml:space="preserve"> </w:t>
            </w:r>
            <m:oMath>
              <m:r>
                <m:t>T</m:t>
              </m:r>
              <m:r>
                <m:rPr>
                  <m:sty m:val="p"/>
                </m:rPr>
                <m:t>/</m:t>
              </m:r>
              <m:r>
                <m:t>8</m:t>
              </m:r>
            </m:oMath>
          </w:p>
        </w:tc>
        <w:tc>
          <w:tcPr/>
          <w:p>
            <w:pPr>
              <w:pStyle w:val="Compact"/>
              <w:jc w:val="left"/>
            </w:pPr>
            <m:oMath>
              <m:r>
                <m:rPr>
                  <m:sty m:val="p"/>
                </m:rPr>
                <m:t>(</m:t>
              </m:r>
              <m:r>
                <m:t>B</m:t>
              </m:r>
              <m:r>
                <m:rPr>
                  <m:sty m:val="p"/>
                </m:rPr>
                <m:t>,</m:t>
              </m:r>
              <m:r>
                <m:t> </m:t>
              </m:r>
              <m:r>
                <m:t>128</m:t>
              </m:r>
              <m:r>
                <m:rPr>
                  <m:sty m:val="p"/>
                </m:rPr>
                <m:t>)</m:t>
              </m:r>
            </m:oMath>
          </w:p>
        </w:tc>
      </w:tr>
      <w:tr>
        <w:tc>
          <w:tcPr/>
          <w:p>
            <w:pPr>
              <w:pStyle w:val="Compact"/>
              <w:jc w:val="left"/>
            </w:pPr>
            <w:r>
              <w:rPr>
                <w:b/>
                <w:bCs/>
              </w:rPr>
              <w:t xml:space="preserve">Output Head</w:t>
            </w:r>
          </w:p>
        </w:tc>
        <w:tc>
          <w:tcPr/>
          <w:p>
            <w:pPr>
              <w:pStyle w:val="Compact"/>
              <w:jc w:val="left"/>
            </w:pPr>
            <w:r>
              <w:rPr>
                <w:b/>
                <w:bCs/>
              </w:rPr>
              <w:t xml:space="preserve">Linear</w:t>
            </w:r>
            <w:r>
              <w:rPr>
                <w:b/>
                <w:bCs/>
              </w:rPr>
              <w:t xml:space="preserve"> </w:t>
            </w:r>
            <m:oMath>
              <m:r>
                <m:t>128</m:t>
              </m:r>
              <m:r>
                <m:rPr>
                  <m:sty m:val="p"/>
                </m:rPr>
                <m:t>→</m:t>
              </m:r>
              <m:r>
                <m:t>N</m:t>
              </m:r>
            </m:oMath>
          </w:p>
        </w:tc>
        <w:tc>
          <w:tcPr/>
          <w:p>
            <w:pPr>
              <w:pStyle w:val="Compact"/>
              <w:jc w:val="left"/>
            </w:pPr>
            <m:oMath>
              <m:r>
                <m:rPr>
                  <m:sty m:val="p"/>
                </m:rPr>
                <m:t>(</m:t>
              </m:r>
              <m:r>
                <m:t>B</m:t>
              </m:r>
              <m:r>
                <m:rPr>
                  <m:sty m:val="p"/>
                </m:rPr>
                <m:t>,</m:t>
              </m:r>
              <m:r>
                <m:t> </m:t>
              </m:r>
              <m:r>
                <m:t>N</m:t>
              </m:r>
              <m:r>
                <m:rPr>
                  <m:sty m:val="p"/>
                </m:rPr>
                <m:t>)</m:t>
              </m:r>
            </m:oMath>
          </w:p>
        </w:tc>
      </w:tr>
    </w:tbl>
    <w:p>
      <w:pPr>
        <w:pStyle w:val="BodyText"/>
      </w:pPr>
      <w:r>
        <w:t xml:space="preserve">The three convolutional blocks progressively reduce temporal resolution while</w:t>
      </w:r>
      <w:r>
        <w:t xml:space="preserve"> </w:t>
      </w:r>
      <w:r>
        <w:t xml:space="preserve">expanding feature depth, with batch normalization [25] and ReLU activations</w:t>
      </w:r>
      <w:r>
        <w:t xml:space="preserve"> </w:t>
      </w:r>
      <w:r>
        <w:t xml:space="preserve">(selected over alternatives such as Swish [9] based on training stability).</w:t>
      </w:r>
      <w:r>
        <w:t xml:space="preserve"> </w:t>
      </w:r>
      <w:r>
        <w:t xml:space="preserve">The encoder captures seismic frequency content at multiple scales (broadband,</w:t>
      </w:r>
      <w:r>
        <w:t xml:space="preserve"> </w:t>
      </w:r>
      <w:r>
        <w:t xml:space="preserve">strong-motion, pulse-like). The multi-head self-attention layer [24] (4 heads,</w:t>
      </w:r>
      <w:r>
        <w:t xml:space="preserve"> </w:t>
      </w:r>
      <w:r>
        <w:t xml:space="preserve">embed_dim</w:t>
      </w:r>
      <w:r>
        <w:t xml:space="preserve"> </w:t>
      </w:r>
      <m:oMath>
        <m:r>
          <m:rPr>
            <m:sty m:val="p"/>
          </m:rPr>
          <m:t>=</m:t>
        </m:r>
        <m:r>
          <m:t>128</m:t>
        </m:r>
      </m:oMath>
      <w:r>
        <w:t xml:space="preserve">) allows the model to attend to specific temporal phases of</w:t>
      </w:r>
      <w:r>
        <w:t xml:space="preserve"> </w:t>
      </w:r>
      <w:r>
        <w:t xml:space="preserve">the ground motion — including peak energy arrival and strong-motion duration —</w:t>
      </w:r>
      <w:r>
        <w:t xml:space="preserve"> </w:t>
      </w:r>
      <w:r>
        <w:t xml:space="preserve">improving prediction coherence for upper-story responses dominated by higher</w:t>
      </w:r>
      <w:r>
        <w:t xml:space="preserve"> </w:t>
      </w:r>
      <w:r>
        <w:t xml:space="preserve">vibration modes.</w:t>
      </w:r>
    </w:p>
    <w:tbl>
      <w:tblPr>
        <w:tblStyle w:val="FigureTable"/>
        <w:tblW w:type="auto" w:w="0"/>
        <w:jc w:val="center"/>
        <w:tblLook w:firstRow="0" w:lastRow="0" w:firstColumn="0" w:lastColumn="0"/>
      </w:tblPr>
      <w:tblGrid>
        <w:gridCol w:w="7920"/>
      </w:tblGrid>
      <w:tr>
        <w:tc>
          <w:tcPr/>
          <w:p>
            <w:pPr>
              <w:pStyle w:val="Compact"/>
              <w:jc w:val="center"/>
            </w:pPr>
            <w:r>
              <w:t xml:space="preserve">PgNN architecture diagram</w:t>
            </w:r>
          </w:p>
        </w:tc>
      </w:tr>
    </w:tbl>
    <w:p>
      <w:pPr>
        <w:pStyle w:val="ImageCaption"/>
      </w:pPr>
      <w:r>
        <w:t xml:space="preserve">PgNN architecture diagram</w:t>
      </w:r>
    </w:p>
    <w:p>
      <w:pPr>
        <w:pStyle w:val="BodyText"/>
      </w:pPr>
      <w:r>
        <w:t xml:space="preserve">Figure 3. Hybrid PgNN architecture. Three 1D-CNN blocks with progressive downsampling</w:t>
      </w:r>
      <w:r>
        <w:t xml:space="preserve"> </w:t>
      </w:r>
      <w:r>
        <w:t xml:space="preserve">extract multiscale temporal features; self-attention resolves long-range dependencies</w:t>
      </w:r>
      <w:r>
        <w:t xml:space="preserve"> </w:t>
      </w:r>
      <w:r>
        <w:t xml:space="preserve">in the ground motion signal; global average pooling and a linear head produce</w:t>
      </w:r>
      <w:r>
        <w:t xml:space="preserve"> </w:t>
      </w:r>
      <m:oMath>
        <m:r>
          <m:t>N</m:t>
        </m:r>
      </m:oMath>
      <w:r>
        <w:t xml:space="preserve"> </w:t>
      </w:r>
      <w:r>
        <w:t xml:space="preserve">story-level IDR predictions. The FEM-guided loss</w:t>
      </w:r>
      <w:r>
        <w:t xml:space="preserve"> </w:t>
      </w:r>
      <m:oMath>
        <m:sSub>
          <m:e>
            <m:r>
              <m:rPr>
                <m:scr m:val="script"/>
                <m:sty m:val="p"/>
              </m:rPr>
              <m:t>L</m:t>
            </m:r>
          </m:e>
          <m:sub>
            <m:r>
              <m:t>r</m:t>
            </m:r>
            <m:r>
              <m:t>e</m:t>
            </m:r>
            <m:r>
              <m:t>g</m:t>
            </m:r>
          </m:sub>
        </m:sSub>
      </m:oMath>
      <w:r>
        <w:t xml:space="preserve"> </w:t>
      </w:r>
      <w:r>
        <w:t xml:space="preserve">(dashed arrow)</w:t>
      </w:r>
      <w:r>
        <w:t xml:space="preserve"> </w:t>
      </w:r>
      <w:r>
        <w:t xml:space="preserve">couples predicted kinematics to FEM restoring forces</w:t>
      </w:r>
      <w:r>
        <w:t xml:space="preserve"> </w:t>
      </w:r>
      <m:oMath>
        <m:sSub>
          <m:e>
            <m:r>
              <m:rPr>
                <m:sty m:val="bi"/>
              </m:rPr>
              <m:t>f</m:t>
            </m:r>
          </m:e>
          <m:sub>
            <m:r>
              <m:t>i</m:t>
            </m:r>
            <m:r>
              <m:t>n</m:t>
            </m:r>
            <m:r>
              <m:t>t</m:t>
            </m:r>
          </m:sub>
        </m:sSub>
      </m:oMath>
      <w:r>
        <w:t xml:space="preserve"> </w:t>
      </w:r>
      <w:r>
        <w:t xml:space="preserve">during training.</w:t>
      </w:r>
    </w:p>
    <w:bookmarkEnd w:id="21"/>
    <w:bookmarkStart w:id="23" w:name="fem-guided-loss-function"/>
    <w:p>
      <w:pPr>
        <w:pStyle w:val="Heading2"/>
      </w:pPr>
      <w:r>
        <w:t xml:space="preserve">3.4 FEM-Guided Loss Function</w:t>
      </w:r>
    </w:p>
    <w:p>
      <w:pPr>
        <w:pStyle w:val="FirstParagraph"/>
      </w:pPr>
      <w:r>
        <w:t xml:space="preserve">The</w:t>
      </w:r>
      <w:r>
        <w:t xml:space="preserve"> </w:t>
      </w:r>
      <w:r>
        <w:t xml:space="preserve">“Hybrid”</w:t>
      </w:r>
      <w:r>
        <w:t xml:space="preserve"> </w:t>
      </w:r>
      <w:r>
        <w:t xml:space="preserve">nature of the Digital Twin arises from a composite loss function</w:t>
      </w:r>
      <w:r>
        <w:t xml:space="preserve"> </w:t>
      </w:r>
      <w:r>
        <w:t xml:space="preserve">that embeds OpenSeesPy physics at three levels of the training objective.</w:t>
      </w:r>
    </w:p>
    <w:p>
      <w:pPr>
        <w:pStyle w:val="BodyText"/>
      </w:pPr>
      <w:r>
        <w:rPr>
          <w:b/>
          <w:bCs/>
        </w:rPr>
        <w:t xml:space="preserve">Level 1 — Per-story inverse-variance weights.</w:t>
      </w:r>
      <w:r>
        <w:t xml:space="preserve"> </w:t>
      </w:r>
      <w:r>
        <w:t xml:space="preserve">The nonlinear response statistics</w:t>
      </w:r>
      <w:r>
        <w:t xml:space="preserve"> </w:t>
      </w:r>
      <m:oMath>
        <m:sSub>
          <m:e>
            <m:r>
              <m:t>σ</m:t>
            </m:r>
          </m:e>
          <m:sub>
            <m:r>
              <m:t>j</m:t>
            </m:r>
          </m:sub>
        </m:sSub>
      </m:oMath>
      <w:r>
        <w:t xml:space="preserve"> </w:t>
      </w:r>
      <w:r>
        <w:t xml:space="preserve">from the NLTHA campaign directly</w:t>
      </w:r>
      <w:r>
        <w:t xml:space="preserve"> </w:t>
      </w:r>
      <w:r>
        <w:t xml:space="preserve">inform the data loss weighting, following the multi-task learning principle of</w:t>
      </w:r>
      <w:r>
        <w:t xml:space="preserve"> </w:t>
      </w:r>
      <w:r>
        <w:t xml:space="preserve">uncertainty-based loss balancing [23]. For each story</w:t>
      </w:r>
      <w:r>
        <w:t xml:space="preserve"> </w:t>
      </w:r>
      <m:oMath>
        <m:r>
          <m:t>j</m:t>
        </m:r>
      </m:oMath>
      <w:r>
        <w:t xml:space="preserve">, the inverse-variance weight</w:t>
      </w:r>
      <w:r>
        <w:t xml:space="preserve"> </w:t>
      </w:r>
      <m:oMath>
        <m:sSub>
          <m:e>
            <m:r>
              <m:t>w</m:t>
            </m:r>
          </m:e>
          <m:sub>
            <m:r>
              <m:t>j</m:t>
            </m:r>
          </m:sub>
        </m:sSub>
        <m:r>
          <m:rPr>
            <m:sty m:val="p"/>
          </m:rPr>
          <m:t>∝</m:t>
        </m:r>
        <m:r>
          <m:t>1</m:t>
        </m:r>
        <m:r>
          <m:rPr>
            <m:sty m:val="p"/>
          </m:rPr>
          <m:t>/</m:t>
        </m:r>
        <m:sSubSup>
          <m:e>
            <m:r>
              <m:t>σ</m:t>
            </m:r>
          </m:e>
          <m:sub>
            <m:r>
              <m:t>j</m:t>
            </m:r>
          </m:sub>
          <m:sup>
            <m:r>
              <m:t>2</m:t>
            </m:r>
          </m:sup>
        </m:sSubSup>
      </m:oMath>
      <w:r>
        <w:t xml:space="preserve"> </w:t>
      </w:r>
      <w:r>
        <w:t xml:space="preserve">compensates for the amplitude imbalance between</w:t>
      </w:r>
      <w:r>
        <w:t xml:space="preserve"> </w:t>
      </w:r>
      <w:r>
        <w:t xml:space="preserve">lower and upper stories — lower floors experience smaller drifts but must be</w:t>
      </w:r>
      <w:r>
        <w:t xml:space="preserve"> </w:t>
      </w:r>
      <w:r>
        <w:t xml:space="preserve">predicted with equal relative precision:</w:t>
      </w:r>
    </w:p>
    <w:p>
      <w:pPr>
        <w:pStyle w:val="BodyText"/>
      </w:pPr>
      <m:oMathPara>
        <m:oMathParaPr>
          <m:jc m:val="center"/>
        </m:oMathParaPr>
        <m:oMath>
          <m:sSub>
            <m:e>
              <m:r>
                <m:t>w</m:t>
              </m:r>
            </m:e>
            <m:sub>
              <m:r>
                <m:t>j</m:t>
              </m:r>
            </m:sub>
          </m:sSub>
          <m:r>
            <m:rPr>
              <m:sty m:val="p"/>
            </m:rPr>
            <m:t>=</m:t>
          </m:r>
          <m:f>
            <m:fPr>
              <m:type m:val="bar"/>
            </m:fPr>
            <m:num>
              <m:r>
                <m:t>1</m:t>
              </m:r>
              <m:r>
                <m:rPr>
                  <m:sty m:val="p"/>
                </m:rPr>
                <m:t>/</m:t>
              </m:r>
              <m:sSub>
                <m:e>
                  <m:r>
                    <m:t>σ</m:t>
                  </m:r>
                </m:e>
                <m:sub>
                  <m:r>
                    <m:t>j</m:t>
                  </m:r>
                </m:sub>
              </m:sSub>
            </m:num>
            <m:den>
              <m:nary>
                <m:naryPr>
                  <m:chr m:val="∑"/>
                  <m:limLoc m:val="undOvr"/>
                  <m:subHide m:val="off"/>
                  <m:supHide m:val="off"/>
                </m:naryPr>
                <m:sub>
                  <m:r>
                    <m:t>k</m:t>
                  </m:r>
                  <m:r>
                    <m:rPr>
                      <m:sty m:val="p"/>
                    </m:rPr>
                    <m:t>=</m:t>
                  </m:r>
                  <m:r>
                    <m:t>1</m:t>
                  </m:r>
                </m:sub>
                <m:sup>
                  <m:r>
                    <m:t>N</m:t>
                  </m:r>
                </m:sup>
                <m:e>
                  <m:r>
                    <m:t>1</m:t>
                  </m:r>
                </m:e>
              </m:nary>
              <m:r>
                <m:rPr>
                  <m:sty m:val="p"/>
                </m:rPr>
                <m:t>/</m:t>
              </m:r>
              <m:sSub>
                <m:e>
                  <m:r>
                    <m:t>σ</m:t>
                  </m:r>
                </m:e>
                <m:sub>
                  <m:r>
                    <m:t>k</m:t>
                  </m:r>
                </m:sub>
              </m:sSub>
            </m:den>
          </m:f>
          <m:r>
            <m:rPr>
              <m:sty m:val="p"/>
            </m:rPr>
            <m:t>⋅</m:t>
          </m:r>
          <m:r>
            <m:t>N</m:t>
          </m:r>
        </m:oMath>
      </m:oMathPara>
    </w:p>
    <w:p>
      <w:pPr>
        <w:pStyle w:val="FirstParagraph"/>
      </w:pPr>
      <w:r>
        <w:rPr>
          <w:i/>
          <w:iCs/>
        </w:rPr>
        <w:t xml:space="preserve">(2)</w:t>
      </w:r>
    </w:p>
    <w:p>
      <w:pPr>
        <w:pStyle w:val="BodyText"/>
      </w:pPr>
      <w:r>
        <w:t xml:space="preserve">For</w:t>
      </w:r>
      <w:r>
        <w:t xml:space="preserve"> </w:t>
      </w:r>
      <m:oMath>
        <m:r>
          <m:t>N</m:t>
        </m:r>
        <m:r>
          <m:rPr>
            <m:sty m:val="p"/>
          </m:rPr>
          <m:t>=</m:t>
        </m:r>
        <m:r>
          <m:t>3</m:t>
        </m:r>
      </m:oMath>
      <w:r>
        <w:t xml:space="preserve">, the resulting weight ratio</w:t>
      </w:r>
      <w:r>
        <w:t xml:space="preserve"> </w:t>
      </w:r>
      <m:oMath>
        <m:sSub>
          <m:e>
            <m:r>
              <m:t>w</m:t>
            </m:r>
          </m:e>
          <m:sub>
            <m:r>
              <m:t>1</m:t>
            </m:r>
          </m:sub>
        </m:sSub>
        <m:r>
          <m:rPr>
            <m:sty m:val="p"/>
          </m:rPr>
          <m:t>/</m:t>
        </m:r>
        <m:sSub>
          <m:e>
            <m:r>
              <m:t>w</m:t>
            </m:r>
          </m:e>
          <m:sub>
            <m:r>
              <m:t>3</m:t>
            </m:r>
          </m:sub>
        </m:sSub>
        <m:r>
          <m:rPr>
            <m:sty m:val="p"/>
          </m:rPr>
          <m:t>≈</m:t>
        </m:r>
        <m:r>
          <m:t>2.15</m:t>
        </m:r>
      </m:oMath>
      <w:r>
        <w:t xml:space="preserve"> </w:t>
      </w:r>
      <w:r>
        <w:t xml:space="preserve">reflects the</w:t>
      </w:r>
      <w:r>
        <w:t xml:space="preserve"> </w:t>
      </w:r>
      <w:r>
        <w:t xml:space="preserve">higher variability of upper-story responses. For</w:t>
      </w:r>
      <w:r>
        <w:t xml:space="preserve"> </w:t>
      </w:r>
      <m:oMath>
        <m:r>
          <m:t>N</m:t>
        </m:r>
        <m:r>
          <m:rPr>
            <m:sty m:val="p"/>
          </m:rPr>
          <m:t>=</m:t>
        </m:r>
        <m:r>
          <m:t>10</m:t>
        </m:r>
      </m:oMath>
      <w:r>
        <w:t xml:space="preserve">,</w:t>
      </w:r>
      <w:r>
        <w:t xml:space="preserve"> </w:t>
      </w:r>
      <m:oMath>
        <m:sSub>
          <m:e>
            <m:r>
              <m:t>w</m:t>
            </m:r>
          </m:e>
          <m:sub>
            <m:r>
              <m:t>1</m:t>
            </m:r>
          </m:sub>
        </m:sSub>
        <m:r>
          <m:rPr>
            <m:sty m:val="p"/>
          </m:rPr>
          <m:t>/</m:t>
        </m:r>
        <m:sSub>
          <m:e>
            <m:r>
              <m:t>w</m:t>
            </m:r>
          </m:e>
          <m:sub>
            <m:r>
              <m:t>10</m:t>
            </m:r>
          </m:sub>
        </m:sSub>
        <m:r>
          <m:rPr>
            <m:sty m:val="p"/>
          </m:rPr>
          <m:t>≈</m:t>
        </m:r>
        <m:r>
          <m:t>6.86</m:t>
        </m:r>
      </m:oMath>
      <w:r>
        <w:t xml:space="preserve"> </w:t>
      </w:r>
      <w:r>
        <w:t xml:space="preserve">captures the amplified whiplash effect.</w:t>
      </w:r>
    </w:p>
    <w:p>
      <w:pPr>
        <w:pStyle w:val="BodyText"/>
      </w:pPr>
      <w:r>
        <w:rPr>
          <w:b/>
          <w:bCs/>
        </w:rPr>
        <w:t xml:space="preserve">Level 2 — FEM-supervised data fidelity (</w:t>
      </w:r>
      <m:oMath>
        <m:sSub>
          <m:e>
            <m:r>
              <m:rPr>
                <m:scr m:val="script"/>
                <m:sty m:val="p"/>
              </m:rPr>
              <m:t>L</m:t>
            </m:r>
          </m:e>
          <m:sub>
            <m:r>
              <m:t>d</m:t>
            </m:r>
            <m:r>
              <m:t>a</m:t>
            </m:r>
            <m:r>
              <m:t>t</m:t>
            </m:r>
            <m:r>
              <m:t>a</m:t>
            </m:r>
          </m:sub>
        </m:sSub>
      </m:oMath>
      <w:r>
        <w:rPr>
          <w:b/>
          <w:bCs/>
        </w:rPr>
        <w:t xml:space="preserve">).</w:t>
      </w:r>
      <w:r>
        <w:t xml:space="preserve"> </w:t>
      </w:r>
      <w:r>
        <w:t xml:space="preserve">The primary training signal is the per-story weighted MSE between predicted and</w:t>
      </w:r>
      <w:r>
        <w:t xml:space="preserve"> </w:t>
      </w:r>
      <w:r>
        <w:t xml:space="preserve">FEM-simulated peak IDR:</w:t>
      </w:r>
    </w:p>
    <w:p>
      <w:pPr>
        <w:pStyle w:val="BodyText"/>
      </w:pPr>
      <m:oMathPara>
        <m:oMathParaPr>
          <m:jc m:val="center"/>
        </m:oMathParaPr>
        <m:oMath>
          <m:sSub>
            <m:e>
              <m:r>
                <m:rPr>
                  <m:scr m:val="script"/>
                  <m:sty m:val="p"/>
                </m:rPr>
                <m:t>L</m:t>
              </m:r>
            </m:e>
            <m:sub>
              <m:r>
                <m:t>d</m:t>
              </m:r>
              <m:r>
                <m:t>a</m:t>
              </m:r>
              <m:r>
                <m:t>t</m:t>
              </m:r>
              <m:r>
                <m:t>a</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r>
            <m:rPr>
              <m:sty m:val="p"/>
            </m:rPr>
            <m:t>(</m:t>
          </m:r>
          <m:sSub>
            <m:e>
              <m:acc>
                <m:accPr>
                  <m:chr m:val="̂"/>
                </m:accPr>
                <m:e>
                  <m:r>
                    <m:t>y</m:t>
                  </m:r>
                </m:e>
              </m:acc>
            </m:e>
            <m:sub>
              <m:r>
                <m:t>j</m:t>
              </m:r>
            </m:sub>
          </m:sSub>
          <m:r>
            <m:rPr>
              <m:sty m:val="p"/>
            </m:rPr>
            <m:t>−</m:t>
          </m:r>
          <m:sSubSup>
            <m:e>
              <m:r>
                <m:t>y</m:t>
              </m:r>
            </m:e>
            <m:sub>
              <m:r>
                <m:t>j</m:t>
              </m:r>
            </m:sub>
            <m:sup>
              <m:r>
                <m:t>F</m:t>
              </m:r>
              <m:r>
                <m:t>E</m:t>
              </m:r>
              <m:r>
                <m:t>M</m:t>
              </m:r>
            </m:sup>
          </m:sSubSup>
          <m:sSup>
            <m:e>
              <m:r>
                <m:rPr>
                  <m:sty m:val="p"/>
                </m:rPr>
                <m:t>)</m:t>
              </m:r>
            </m:e>
            <m:sup>
              <m:r>
                <m:t>2</m:t>
              </m:r>
            </m:sup>
          </m:sSup>
        </m:oMath>
      </m:oMathPara>
    </w:p>
    <w:p>
      <w:pPr>
        <w:pStyle w:val="FirstParagraph"/>
      </w:pPr>
      <w:r>
        <w:rPr>
          <w:i/>
          <w:iCs/>
        </w:rPr>
        <w:t xml:space="preserve">(3)</w:t>
      </w:r>
    </w:p>
    <w:p>
      <w:pPr>
        <w:pStyle w:val="BodyText"/>
      </w:pPr>
      <w:r>
        <w:t xml:space="preserve">where</w:t>
      </w:r>
      <w:r>
        <w:t xml:space="preserve"> </w:t>
      </w:r>
      <m:oMath>
        <m:sSubSup>
          <m:e>
            <m:r>
              <m:t>y</m:t>
            </m:r>
          </m:e>
          <m:sub>
            <m:r>
              <m:t>j</m:t>
            </m:r>
          </m:sub>
          <m:sup>
            <m:r>
              <m:t>F</m:t>
            </m:r>
            <m:r>
              <m:t>E</m:t>
            </m:r>
            <m:r>
              <m:t>M</m:t>
            </m:r>
          </m:sup>
        </m:sSubSup>
        <m:r>
          <m:rPr>
            <m:sty m:val="p"/>
          </m:rPr>
          <m:t>=</m:t>
        </m:r>
        <m:sSub>
          <m:e>
            <m:r>
              <m:rPr>
                <m:sty m:val="p"/>
              </m:rPr>
              <m:t>max</m:t>
            </m:r>
          </m:e>
          <m:sub>
            <m:r>
              <m:t>t</m:t>
            </m:r>
          </m:sub>
        </m:sSub>
        <m:r>
          <m:rPr>
            <m:sty m:val="p"/>
          </m:rPr>
          <m:t>|</m:t>
        </m:r>
        <m:sSub>
          <m:e>
            <m:r>
              <m:t>u</m:t>
            </m:r>
          </m:e>
          <m:sub>
            <m:r>
              <m:t>j</m:t>
            </m:r>
          </m:sub>
        </m:sSub>
        <m:r>
          <m:rPr>
            <m:sty m:val="p"/>
          </m:rPr>
          <m:t>(</m:t>
        </m:r>
        <m:r>
          <m:t>t</m:t>
        </m:r>
        <m:r>
          <m:rPr>
            <m:sty m:val="p"/>
          </m:rPr>
          <m:t>)</m:t>
        </m:r>
        <m:r>
          <m:rPr>
            <m:sty m:val="p"/>
          </m:rPr>
          <m:t>|</m:t>
        </m:r>
      </m:oMath>
      <w:r>
        <w:t xml:space="preserve"> </w:t>
      </w:r>
      <w:r>
        <w:t xml:space="preserve">is the peak absolute displacement per story,</w:t>
      </w:r>
      <w:r>
        <w:t xml:space="preserve"> </w:t>
      </w:r>
      <w:r>
        <w:t xml:space="preserve">extracted from OpenSeesPy NLTHA and stored as the training target.</w:t>
      </w:r>
    </w:p>
    <w:p>
      <w:pPr>
        <w:pStyle w:val="BodyText"/>
      </w:pPr>
      <w:r>
        <w:rPr>
          <w:b/>
          <w:bCs/>
        </w:rPr>
        <w:t xml:space="preserve">Level 3 — FEM physics tensor regularization (</w:t>
      </w:r>
      <m:oMath>
        <m:sSub>
          <m:e>
            <m:r>
              <m:rPr>
                <m:scr m:val="script"/>
                <m:sty m:val="p"/>
              </m:rPr>
              <m:t>L</m:t>
            </m:r>
          </m:e>
          <m:sub>
            <m:r>
              <m:t>r</m:t>
            </m:r>
            <m:r>
              <m:t>e</m:t>
            </m:r>
            <m:r>
              <m:t>g</m:t>
            </m:r>
          </m:sub>
        </m:sSub>
      </m:oMath>
      <w:r>
        <w:rPr>
          <w:b/>
          <w:bCs/>
        </w:rPr>
        <w:t xml:space="preserve">).</w:t>
      </w:r>
      <w:r>
        <w:t xml:space="preserve"> </w:t>
      </w:r>
      <w:r>
        <w:t xml:space="preserve">The nonlinear restoring forces</w:t>
      </w:r>
      <w:r>
        <w:t xml:space="preserve"> </w:t>
      </w:r>
      <m:oMath>
        <m:sSub>
          <m:e>
            <m:r>
              <m:rPr>
                <m:sty m:val="bi"/>
              </m:rPr>
              <m:t>f</m:t>
            </m:r>
          </m:e>
          <m:sub>
            <m:r>
              <m:t>i</m:t>
            </m:r>
            <m:r>
              <m:t>n</m:t>
            </m:r>
            <m:r>
              <m:t>t</m:t>
            </m:r>
          </m:sub>
        </m:sSub>
      </m:oMath>
      <w:r>
        <w:t xml:space="preserve">, floor accelerations</w:t>
      </w:r>
      <w:r>
        <w:t xml:space="preserve"> </w:t>
      </w:r>
      <m:oMath>
        <m:acc>
          <m:accPr>
            <m:chr m:val="̈"/>
          </m:accPr>
          <m:e>
            <m:r>
              <m:rPr>
                <m:sty m:val="bi"/>
              </m:rPr>
              <m:t>u</m:t>
            </m:r>
          </m:e>
        </m:acc>
      </m:oMath>
      <w:r>
        <w:t xml:space="preserve">, and velocities</w:t>
      </w:r>
      <w:r>
        <w:t xml:space="preserve"> </w:t>
      </w:r>
      <m:oMath>
        <m:acc>
          <m:accPr>
            <m:chr m:val="̇"/>
          </m:accPr>
          <m:e>
            <m:r>
              <m:rPr>
                <m:sty m:val="bi"/>
              </m:rPr>
              <m:t>u</m:t>
            </m:r>
          </m:e>
        </m:acc>
      </m:oMath>
      <w:r>
        <w:t xml:space="preserve"> </w:t>
      </w:r>
      <w:r>
        <w:t xml:space="preserve">— all extracted from</w:t>
      </w:r>
      <w:r>
        <w:t xml:space="preserve"> </w:t>
      </w:r>
      <w:r>
        <w:t xml:space="preserve">OpenSeesPy fiber sections during the NLTHA campaign — are stored as physics</w:t>
      </w:r>
      <w:r>
        <w:t xml:space="preserve"> </w:t>
      </w:r>
      <w:r>
        <w:t xml:space="preserve">tensors alongside each training sample. Unlike prior work that approximates</w:t>
      </w:r>
      <w:r>
        <w:t xml:space="preserve"> </w:t>
      </w:r>
      <m:oMath>
        <m:sSub>
          <m:e>
            <m:r>
              <m:rPr>
                <m:sty m:val="bi"/>
              </m:rPr>
              <m:t>f</m:t>
            </m:r>
          </m:e>
          <m:sub>
            <m:r>
              <m:t>i</m:t>
            </m:r>
            <m:r>
              <m:t>n</m:t>
            </m:r>
            <m:r>
              <m:t>t</m:t>
            </m:r>
          </m:sub>
        </m:sSub>
      </m:oMath>
      <w:r>
        <w:t xml:space="preserve"> </w:t>
      </w:r>
      <w:r>
        <w:t xml:space="preserve">analytically [10], these tensors encode concrete cracking,</w:t>
      </w:r>
      <w:r>
        <w:t xml:space="preserve"> </w:t>
      </w:r>
      <w:r>
        <w:t xml:space="preserve">steel yielding, and cyclic stiffness degradation directly from FEM. In the</w:t>
      </w:r>
      <w:r>
        <w:t xml:space="preserve"> </w:t>
      </w:r>
      <w:r>
        <w:t xml:space="preserve">full sequence mode, they enable a differentiable equation-of-motion residual:</w:t>
      </w:r>
    </w:p>
    <w:p>
      <w:pPr>
        <w:pStyle w:val="BodyText"/>
      </w:pPr>
      <m:oMathPara>
        <m:oMathParaPr>
          <m:jc m:val="center"/>
        </m:oMathParaPr>
        <m:oMath>
          <m:sSub>
            <m:e>
              <m:r>
                <m:rPr>
                  <m:scr m:val="script"/>
                  <m:sty m:val="p"/>
                </m:rPr>
                <m:t>L</m:t>
              </m:r>
            </m:e>
            <m:sub>
              <m:r>
                <m:t>r</m:t>
              </m:r>
              <m:r>
                <m:t>e</m:t>
              </m:r>
              <m:r>
                <m:t>g</m:t>
              </m:r>
            </m:sub>
          </m:sSub>
          <m:r>
            <m:rPr>
              <m:sty m:val="p"/>
            </m:rPr>
            <m:t>=</m:t>
          </m:r>
          <m:r>
            <m:rPr>
              <m:sty m:val="p"/>
            </m:rPr>
            <m:t>∥</m:t>
          </m:r>
          <m:r>
            <m:rPr>
              <m:sty m:val="bi"/>
            </m:rPr>
            <m:t>M</m:t>
          </m:r>
          <m:sSub>
            <m:e>
              <m:acc>
                <m:accPr>
                  <m:chr m:val="̈"/>
                </m:accPr>
                <m:e>
                  <m:r>
                    <m:rPr>
                      <m:sty m:val="bi"/>
                    </m:rPr>
                    <m:t>u</m:t>
                  </m:r>
                </m:e>
              </m:acc>
            </m:e>
            <m:sub>
              <m:r>
                <m:t>p</m:t>
              </m:r>
              <m:r>
                <m:t>r</m:t>
              </m:r>
              <m:r>
                <m:t>e</m:t>
              </m:r>
              <m:r>
                <m:t>d</m:t>
              </m:r>
            </m:sub>
          </m:sSub>
          <m:r>
            <m:rPr>
              <m:sty m:val="p"/>
            </m:rPr>
            <m:t>+</m:t>
          </m:r>
          <m:r>
            <m:rPr>
              <m:sty m:val="bi"/>
            </m:rPr>
            <m:t>C</m:t>
          </m:r>
          <m:sSub>
            <m:e>
              <m:acc>
                <m:accPr>
                  <m:chr m:val="̇"/>
                </m:accPr>
                <m:e>
                  <m:r>
                    <m:rPr>
                      <m:sty m:val="bi"/>
                    </m:rPr>
                    <m:t>u</m:t>
                  </m:r>
                </m:e>
              </m:acc>
            </m:e>
            <m:sub>
              <m:r>
                <m:t>p</m:t>
              </m:r>
              <m:r>
                <m:t>r</m:t>
              </m:r>
              <m:r>
                <m:t>e</m:t>
              </m:r>
              <m:r>
                <m:t>d</m:t>
              </m:r>
            </m:sub>
          </m:sSub>
          <m:r>
            <m:rPr>
              <m:sty m:val="p"/>
            </m:rPr>
            <m:t>+</m:t>
          </m:r>
          <m:sSub>
            <m:e>
              <m:r>
                <m:rPr>
                  <m:sty m:val="bi"/>
                </m:rPr>
                <m:t>f</m:t>
              </m:r>
            </m:e>
            <m:sub>
              <m:r>
                <m:t>i</m:t>
              </m:r>
              <m:r>
                <m:t>n</m:t>
              </m:r>
              <m:r>
                <m:t>t</m:t>
              </m:r>
            </m:sub>
          </m:sSub>
          <m:r>
            <m:rPr>
              <m:sty m:val="p"/>
            </m:rPr>
            <m:t>(</m:t>
          </m:r>
          <m:sSub>
            <m:e>
              <m:r>
                <m:rPr>
                  <m:sty m:val="bi"/>
                </m:rPr>
                <m:t>u</m:t>
              </m:r>
            </m:e>
            <m:sub>
              <m:r>
                <m:t>t</m:t>
              </m:r>
              <m:r>
                <m:t>r</m:t>
              </m:r>
              <m:r>
                <m:t>u</m:t>
              </m:r>
              <m:r>
                <m:t>e</m:t>
              </m:r>
            </m:sub>
          </m:sSub>
          <m:r>
            <m:rPr>
              <m:sty m:val="p"/>
            </m:rPr>
            <m:t>)</m:t>
          </m:r>
          <m:r>
            <m:rPr>
              <m:sty m:val="p"/>
            </m:rPr>
            <m:t>+</m:t>
          </m:r>
          <m:r>
            <m:rPr>
              <m:sty m:val="bi"/>
            </m:rPr>
            <m:t>M</m:t>
          </m:r>
          <m:r>
            <m:rPr>
              <m:sty m:val="bi"/>
            </m:rPr>
            <m:t>ι</m:t>
          </m:r>
          <m:sSub>
            <m:e>
              <m:acc>
                <m:accPr>
                  <m:chr m:val="̈"/>
                </m:accPr>
                <m:e>
                  <m:r>
                    <m:t>u</m:t>
                  </m:r>
                </m:e>
              </m:acc>
            </m:e>
            <m:sub>
              <m:r>
                <m:t>g</m:t>
              </m:r>
            </m:sub>
          </m:sSub>
          <m:sSup>
            <m:e>
              <m:r>
                <m:rPr>
                  <m:sty m:val="p"/>
                </m:rPr>
                <m:t>∥</m:t>
              </m:r>
            </m:e>
            <m:sup>
              <m:r>
                <m:t>2</m:t>
              </m:r>
            </m:sup>
          </m:sSup>
        </m:oMath>
      </m:oMathPara>
    </w:p>
    <w:bookmarkStart w:id="22" w:name="total-loss-formulation"/>
    <w:p>
      <w:pPr>
        <w:pStyle w:val="Heading3"/>
      </w:pPr>
      <w:r>
        <w:t xml:space="preserve">3.4.1 Total Loss Formulation</w:t>
      </w:r>
    </w:p>
    <w:p>
      <w:pPr>
        <w:pStyle w:val="FirstParagraph"/>
      </w:pPr>
      <w:r>
        <w:t xml:space="preserve">The total training objective integrates data fidelity, physics regularization,</w:t>
      </w:r>
      <w:r>
        <w:t xml:space="preserve"> </w:t>
      </w:r>
      <w:r>
        <w:t xml:space="preserve">and initial condition enforcement:</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t>λ</m:t>
              </m:r>
            </m:e>
            <m:sub>
              <m:r>
                <m:t>d</m:t>
              </m:r>
            </m:sub>
          </m:sSub>
          <m:r>
            <m:t> </m:t>
          </m:r>
          <m:sSub>
            <m:e>
              <m:r>
                <m:rPr>
                  <m:scr m:val="script"/>
                  <m:sty m:val="p"/>
                </m:rPr>
                <m:t>L</m:t>
              </m:r>
            </m:e>
            <m:sub>
              <m:r>
                <m:t>d</m:t>
              </m:r>
              <m:r>
                <m:t>a</m:t>
              </m:r>
              <m:r>
                <m:t>t</m:t>
              </m:r>
              <m:r>
                <m:t>a</m:t>
              </m:r>
            </m:sub>
          </m:sSub>
          <m:r>
            <m:rPr>
              <m:sty m:val="p"/>
            </m:rPr>
            <m:t>+</m:t>
          </m:r>
          <m:sSub>
            <m:e>
              <m:r>
                <m:t>λ</m:t>
              </m:r>
            </m:e>
            <m:sub>
              <m:r>
                <m:t>p</m:t>
              </m:r>
            </m:sub>
          </m:sSub>
          <m:r>
            <m:t> </m:t>
          </m:r>
          <m:sSub>
            <m:e>
              <m:r>
                <m:rPr>
                  <m:scr m:val="script"/>
                  <m:sty m:val="p"/>
                </m:rPr>
                <m:t>L</m:t>
              </m:r>
            </m:e>
            <m:sub>
              <m:r>
                <m:t>r</m:t>
              </m:r>
              <m:r>
                <m:t>e</m:t>
              </m:r>
              <m:r>
                <m:t>g</m:t>
              </m:r>
            </m:sub>
          </m:sSub>
          <m:r>
            <m:rPr>
              <m:sty m:val="p"/>
            </m:rPr>
            <m:t>+</m:t>
          </m:r>
          <m:sSub>
            <m:e>
              <m:r>
                <m:t>λ</m:t>
              </m:r>
            </m:e>
            <m:sub>
              <m:r>
                <m:t>b</m:t>
              </m:r>
            </m:sub>
          </m:sSub>
          <m:r>
            <m:t> </m:t>
          </m:r>
          <m:sSub>
            <m:e>
              <m:r>
                <m:rPr>
                  <m:scr m:val="script"/>
                  <m:sty m:val="p"/>
                </m:rPr>
                <m:t>L</m:t>
              </m:r>
            </m:e>
            <m:sub>
              <m:r>
                <m:t>b</m:t>
              </m:r>
              <m:r>
                <m:t>c</m:t>
              </m:r>
            </m:sub>
          </m:sSub>
        </m:oMath>
      </m:oMathPara>
    </w:p>
    <w:p>
      <w:pPr>
        <w:pStyle w:val="FirstParagraph"/>
      </w:pPr>
      <w:r>
        <w:rPr>
          <w:b/>
          <w:bCs/>
        </w:rPr>
        <w:t xml:space="preserve">Table 3.</w:t>
      </w:r>
      <w:r>
        <w:t xml:space="preserve"> </w:t>
      </w:r>
      <w:r>
        <w:t xml:space="preserve">Loss components and their FEM physics grounding.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FEM Physics Source</w:t>
            </w:r>
          </w:p>
        </w:tc>
        <w:tc>
          <w:tcPr/>
          <w:p>
            <w:pPr>
              <w:pStyle w:val="Compact"/>
              <w:jc w:val="left"/>
            </w:pPr>
            <w:r>
              <w:t xml:space="preserve">Role</w:t>
            </w:r>
          </w:p>
        </w:tc>
      </w:tr>
      <w:tr>
        <w:tc>
          <w:tcPr/>
          <w:p>
            <w:pPr>
              <w:pStyle w:val="Compact"/>
              <w:jc w:val="left"/>
            </w:pPr>
            <m:oMath>
              <m:sSub>
                <m:e>
                  <m:r>
                    <m:rPr>
                      <m:scr m:val="script"/>
                      <m:sty m:val="p"/>
                    </m:rPr>
                    <m:t>L</m:t>
                  </m:r>
                </m:e>
                <m:sub>
                  <m:r>
                    <m:t>d</m:t>
                  </m:r>
                  <m:r>
                    <m:t>a</m:t>
                  </m:r>
                  <m:r>
                    <m:t>t</m:t>
                  </m:r>
                  <m:r>
                    <m:t>a</m:t>
                  </m:r>
                </m:sub>
              </m:sSub>
            </m:oMath>
          </w:p>
        </w:tc>
        <w:tc>
          <w:tcPr/>
          <w:p>
            <w:pPr>
              <w:pStyle w:val="Compact"/>
              <w:jc w:val="left"/>
            </w:pPr>
            <m:oMath>
              <m:sSub>
                <m:e>
                  <m:r>
                    <m:t>λ</m:t>
                  </m:r>
                </m:e>
                <m:sub>
                  <m:r>
                    <m:t>d</m:t>
                  </m:r>
                </m:sub>
              </m:sSub>
              <m:r>
                <m:rPr>
                  <m:sty m:val="p"/>
                </m:rPr>
                <m:t>=</m:t>
              </m:r>
              <m:r>
                <m:t>1.0</m:t>
              </m:r>
            </m:oMath>
          </w:p>
        </w:tc>
        <w:tc>
          <w:tcPr/>
          <w:p>
            <w:pPr>
              <w:pStyle w:val="Compact"/>
              <w:jc w:val="left"/>
            </w:pPr>
            <w:r>
              <w:t xml:space="preserve">NLTHA peak IDR targets</w:t>
            </w:r>
            <w:r>
              <w:t xml:space="preserve"> </w:t>
            </w:r>
            <m:oMath>
              <m:sSubSup>
                <m:e>
                  <m:r>
                    <m:t>y</m:t>
                  </m:r>
                </m:e>
                <m:sub>
                  <m:r>
                    <m:t>j</m:t>
                  </m:r>
                </m:sub>
                <m:sup>
                  <m:r>
                    <m:t>F</m:t>
                  </m:r>
                  <m:r>
                    <m:t>E</m:t>
                  </m:r>
                  <m:r>
                    <m:t>M</m:t>
                  </m:r>
                </m:sup>
              </m:sSubSup>
            </m:oMath>
          </w:p>
        </w:tc>
        <w:tc>
          <w:tcPr/>
          <w:p>
            <w:pPr>
              <w:pStyle w:val="Compact"/>
              <w:jc w:val="left"/>
            </w:pPr>
            <w:r>
              <w:t xml:space="preserve">Primary supervised fidelity</w:t>
            </w:r>
          </w:p>
        </w:tc>
      </w:tr>
      <w:tr>
        <w:tc>
          <w:tcPr/>
          <w:p>
            <w:pPr>
              <w:pStyle w:val="Compact"/>
              <w:jc w:val="left"/>
            </w:pPr>
            <m:oMath>
              <m:sSub>
                <m:e>
                  <m:r>
                    <m:rPr>
                      <m:scr m:val="script"/>
                      <m:sty m:val="p"/>
                    </m:rPr>
                    <m:t>L</m:t>
                  </m:r>
                </m:e>
                <m:sub>
                  <m:r>
                    <m:t>r</m:t>
                  </m:r>
                  <m:r>
                    <m:t>e</m:t>
                  </m:r>
                  <m:r>
                    <m:t>g</m:t>
                  </m:r>
                </m:sub>
              </m:sSub>
            </m:oMath>
          </w:p>
        </w:tc>
        <w:tc>
          <w:tcPr/>
          <w:p>
            <w:pPr>
              <w:pStyle w:val="Compact"/>
              <w:jc w:val="left"/>
            </w:pPr>
            <m:oMath>
              <m:sSub>
                <m:e>
                  <m:r>
                    <m:t>λ</m:t>
                  </m:r>
                </m:e>
                <m:sub>
                  <m:r>
                    <m:t>p</m:t>
                  </m:r>
                </m:sub>
              </m:sSub>
              <m:r>
                <m:rPr>
                  <m:sty m:val="p"/>
                </m:rPr>
                <m:t>=</m:t>
              </m:r>
              <m:r>
                <m:t>0.1</m:t>
              </m:r>
            </m:oMath>
          </w:p>
        </w:tc>
        <w:tc>
          <w:tcPr/>
          <w:p>
            <w:pPr>
              <w:pStyle w:val="Compact"/>
              <w:jc w:val="left"/>
            </w:pPr>
            <m:oMath>
              <m:sSub>
                <m:e>
                  <m:r>
                    <m:rPr>
                      <m:sty m:val="bi"/>
                    </m:rPr>
                    <m:t>f</m:t>
                  </m:r>
                </m:e>
                <m:sub>
                  <m:r>
                    <m:t>i</m:t>
                  </m:r>
                  <m:r>
                    <m:t>n</m:t>
                  </m:r>
                  <m:r>
                    <m:t>t</m:t>
                  </m:r>
                </m:sub>
              </m:sSub>
            </m:oMath>
            <w:r>
              <w:t xml:space="preserve">,</w:t>
            </w:r>
            <w:r>
              <w:t xml:space="preserve"> </w:t>
            </w:r>
            <m:oMath>
              <m:acc>
                <m:accPr>
                  <m:chr m:val="̈"/>
                </m:accPr>
                <m:e>
                  <m:r>
                    <m:rPr>
                      <m:sty m:val="bi"/>
                    </m:rPr>
                    <m:t>u</m:t>
                  </m:r>
                </m:e>
              </m:acc>
            </m:oMath>
            <w:r>
              <w:t xml:space="preserve">,</w:t>
            </w:r>
            <w:r>
              <w:t xml:space="preserve"> </w:t>
            </w:r>
            <m:oMath>
              <m:acc>
                <m:accPr>
                  <m:chr m:val="̇"/>
                </m:accPr>
                <m:e>
                  <m:r>
                    <m:rPr>
                      <m:sty m:val="bi"/>
                    </m:rPr>
                    <m:t>u</m:t>
                  </m:r>
                </m:e>
              </m:acc>
            </m:oMath>
            <w:r>
              <w:t xml:space="preserve"> </w:t>
            </w:r>
            <w:r>
              <w:t xml:space="preserve">tensors</w:t>
            </w:r>
          </w:p>
        </w:tc>
        <w:tc>
          <w:tcPr/>
          <w:p>
            <w:pPr>
              <w:pStyle w:val="Compact"/>
              <w:jc w:val="left"/>
            </w:pPr>
            <w:r>
              <w:t xml:space="preserve">EoM residual (active in sequence mode)</w:t>
            </w:r>
          </w:p>
        </w:tc>
      </w:tr>
      <w:tr>
        <w:tc>
          <w:tcPr/>
          <w:p>
            <w:pPr>
              <w:pStyle w:val="Compact"/>
              <w:jc w:val="left"/>
            </w:pPr>
            <m:oMath>
              <m:sSub>
                <m:e>
                  <m:r>
                    <m:rPr>
                      <m:scr m:val="script"/>
                      <m:sty m:val="p"/>
                    </m:rPr>
                    <m:t>L</m:t>
                  </m:r>
                </m:e>
                <m:sub>
                  <m:r>
                    <m:t>b</m:t>
                  </m:r>
                  <m:r>
                    <m:t>c</m:t>
                  </m:r>
                </m:sub>
              </m:sSub>
            </m:oMath>
          </w:p>
        </w:tc>
        <w:tc>
          <w:tcPr/>
          <w:p>
            <w:pPr>
              <w:pStyle w:val="Compact"/>
              <w:jc w:val="left"/>
            </w:pPr>
            <m:oMath>
              <m:sSub>
                <m:e>
                  <m:r>
                    <m:t>λ</m:t>
                  </m:r>
                </m:e>
                <m:sub>
                  <m:r>
                    <m:t>b</m:t>
                  </m:r>
                </m:sub>
              </m:sSub>
              <m:r>
                <m:rPr>
                  <m:sty m:val="p"/>
                </m:rPr>
                <m:t>=</m:t>
              </m:r>
              <m:r>
                <m:t>0.01</m:t>
              </m:r>
            </m:oMath>
          </w:p>
        </w:tc>
        <w:tc>
          <w:tcPr/>
          <w:p>
            <w:pPr>
              <w:pStyle w:val="Compact"/>
              <w:jc w:val="left"/>
            </w:pPr>
            <w:r>
              <w:t xml:space="preserve">Zero initial conditions from NLTHA</w:t>
            </w:r>
          </w:p>
        </w:tc>
        <w:tc>
          <w:tcPr/>
          <w:p>
            <w:pPr>
              <w:pStyle w:val="Compact"/>
              <w:jc w:val="left"/>
            </w:pPr>
            <w:r>
              <w:t xml:space="preserve">Prevents spurious pre-event offsets</w:t>
            </w:r>
          </w:p>
        </w:tc>
      </w:tr>
    </w:tbl>
    <w:p>
      <w:pPr>
        <w:pStyle w:val="BodyText"/>
      </w:pPr>
      <w:r>
        <w:t xml:space="preserve">Loss weights</w:t>
      </w:r>
      <w:r>
        <w:t xml:space="preserve"> </w:t>
      </w:r>
      <m:oMath>
        <m:sSub>
          <m:e>
            <m:r>
              <m:t>λ</m:t>
            </m:r>
          </m:e>
          <m:sub>
            <m:r>
              <m:t>d</m:t>
            </m:r>
          </m:sub>
        </m:sSub>
      </m:oMath>
      <w:r>
        <w:t xml:space="preserve"> </w:t>
      </w:r>
      <w:r>
        <w:t xml:space="preserve">and</w:t>
      </w:r>
      <w:r>
        <w:t xml:space="preserve"> </w:t>
      </w:r>
      <m:oMath>
        <m:sSub>
          <m:e>
            <m:r>
              <m:t>λ</m:t>
            </m:r>
          </m:e>
          <m:sub>
            <m:r>
              <m:t>p</m:t>
            </m:r>
          </m:sub>
        </m:sSub>
      </m:oMath>
      <w:r>
        <w:t xml:space="preserve"> </w:t>
      </w:r>
      <w:r>
        <w:t xml:space="preserve">are adapted dynamically during training</w:t>
      </w:r>
      <w:r>
        <w:t xml:space="preserve"> </w:t>
      </w:r>
      <w:r>
        <w:t xml:space="preserve">using a self-adaptive scheme [15], with</w:t>
      </w:r>
      <w:r>
        <w:t xml:space="preserve"> </w:t>
      </w:r>
      <m:oMath>
        <m:sSub>
          <m:e>
            <m:r>
              <m:t>λ</m:t>
            </m:r>
          </m:e>
          <m:sub>
            <m:r>
              <m:t>b</m:t>
            </m:r>
          </m:sub>
        </m:sSub>
        <m:r>
          <m:rPr>
            <m:sty m:val="p"/>
          </m:rPr>
          <m:t>=</m:t>
        </m:r>
        <m:r>
          <m:t>0.01</m:t>
        </m:r>
      </m:oMath>
      <w:r>
        <w:t xml:space="preserve"> </w:t>
      </w:r>
      <w:r>
        <w:t xml:space="preserve">fixed.</w:t>
      </w:r>
    </w:p>
    <w:bookmarkEnd w:id="22"/>
    <w:bookmarkEnd w:id="23"/>
    <w:bookmarkStart w:id="24" w:name="training-protocol"/>
    <w:p>
      <w:pPr>
        <w:pStyle w:val="Heading2"/>
      </w:pPr>
      <w:r>
        <w:t xml:space="preserve">3.5 Training Protocol</w:t>
      </w:r>
    </w:p>
    <w:p>
      <w:pPr>
        <w:pStyle w:val="FirstParagraph"/>
      </w:pPr>
      <w:r>
        <w:rPr>
          <w:b/>
          <w:bCs/>
        </w:rPr>
        <w:t xml:space="preserve">Table 4.</w:t>
      </w:r>
      <w:r>
        <w:t xml:space="preserve"> </w:t>
      </w:r>
      <w:r>
        <w:t xml:space="preserve">Training hyperparameters for the Hybrid PgNN (fixed for reproducibility).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Hyperparameter</w:t>
            </w:r>
          </w:p>
        </w:tc>
        <w:tc>
          <w:tcPr/>
          <w:p>
            <w:pPr>
              <w:pStyle w:val="Compact"/>
              <w:jc w:val="left"/>
            </w:pPr>
            <w:r>
              <w:t xml:space="preserve">N=3</w:t>
            </w:r>
          </w:p>
        </w:tc>
        <w:tc>
          <w:tcPr/>
          <w:p>
            <w:pPr>
              <w:pStyle w:val="Compact"/>
              <w:jc w:val="left"/>
            </w:pPr>
            <w:r>
              <w:t xml:space="preserve">N=10</w:t>
            </w:r>
          </w:p>
        </w:tc>
        <w:tc>
          <w:tcPr/>
          <w:p>
            <w:pPr>
              <w:pStyle w:val="Compact"/>
              <w:jc w:val="left"/>
            </w:pPr>
            <w:r>
              <w:t xml:space="preserve">Rationale</w:t>
            </w:r>
          </w:p>
        </w:tc>
      </w:tr>
      <w:tr>
        <w:tc>
          <w:tcPr/>
          <w:p>
            <w:pPr>
              <w:pStyle w:val="Compact"/>
              <w:jc w:val="left"/>
            </w:pPr>
            <w:r>
              <w:t xml:space="preserve">Optimizer</w:t>
            </w:r>
          </w:p>
        </w:tc>
        <w:tc>
          <w:tcPr/>
          <w:p>
            <w:pPr>
              <w:pStyle w:val="Compact"/>
              <w:jc w:val="left"/>
            </w:pPr>
            <w:r>
              <w:t xml:space="preserve">AdamW [11]</w:t>
            </w:r>
          </w:p>
        </w:tc>
        <w:tc>
          <w:tcPr/>
          <w:p>
            <w:pPr>
              <w:pStyle w:val="Compact"/>
              <w:jc w:val="left"/>
            </w:pPr>
            <w:r>
              <w:t xml:space="preserve">AdamW [11]</w:t>
            </w:r>
          </w:p>
        </w:tc>
        <w:tc>
          <w:tcPr/>
          <w:p>
            <w:pPr>
              <w:pStyle w:val="Compact"/>
              <w:jc w:val="left"/>
            </w:pPr>
            <w:r>
              <w:t xml:space="preserve">Decoupled weight decay</w:t>
            </w:r>
          </w:p>
        </w:tc>
      </w:tr>
      <w:tr>
        <w:tc>
          <w:tcPr/>
          <w:p>
            <w:pPr>
              <w:pStyle w:val="Compact"/>
              <w:jc w:val="left"/>
            </w:pPr>
            <w:r>
              <w:t xml:space="preserve">Learning rate (</w:t>
            </w:r>
            <m:oMath>
              <m:r>
                <m:t>η</m:t>
              </m:r>
            </m:oMath>
            <w:r>
              <w:t xml:space="preserve">)</w:t>
            </w:r>
          </w:p>
        </w:tc>
        <w:tc>
          <w:tcPr/>
          <w:p>
            <w:pPr>
              <w:pStyle w:val="Compact"/>
              <w:jc w:val="left"/>
            </w:pPr>
            <m:oMath>
              <m:r>
                <m:t>1</m:t>
              </m:r>
              <m:r>
                <m:rPr>
                  <m:sty m:val="p"/>
                </m:rPr>
                <m:t>×</m:t>
              </m:r>
              <m:sSup>
                <m:e>
                  <m:r>
                    <m:t>10</m:t>
                  </m:r>
                </m:e>
                <m:sup>
                  <m:r>
                    <m:rPr>
                      <m:sty m:val="p"/>
                    </m:rPr>
                    <m:t>−</m:t>
                  </m:r>
                  <m:r>
                    <m:t>3</m:t>
                  </m:r>
                </m:sup>
              </m:sSup>
            </m:oMath>
          </w:p>
        </w:tc>
        <w:tc>
          <w:tcPr/>
          <w:p>
            <w:pPr>
              <w:pStyle w:val="Compact"/>
              <w:jc w:val="left"/>
            </w:pPr>
            <m:oMath>
              <m:r>
                <m:t>1</m:t>
              </m:r>
              <m:r>
                <m:rPr>
                  <m:sty m:val="p"/>
                </m:rPr>
                <m:t>×</m:t>
              </m:r>
              <m:sSup>
                <m:e>
                  <m:r>
                    <m:t>10</m:t>
                  </m:r>
                </m:e>
                <m:sup>
                  <m:r>
                    <m:rPr>
                      <m:sty m:val="p"/>
                    </m:rPr>
                    <m:t>−</m:t>
                  </m:r>
                  <m:r>
                    <m:t>3</m:t>
                  </m:r>
                </m:sup>
              </m:sSup>
            </m:oMath>
          </w:p>
        </w:tc>
        <w:tc>
          <w:tcPr/>
          <w:p>
            <w:pPr>
              <w:pStyle w:val="Compact"/>
              <w:jc w:val="left"/>
            </w:pPr>
            <w:r>
              <w:t xml:space="preserve">Standard for Adam-family optimizers</w:t>
            </w:r>
          </w:p>
        </w:tc>
      </w:tr>
      <w:tr>
        <w:tc>
          <w:tcPr/>
          <w:p>
            <w:pPr>
              <w:pStyle w:val="Compact"/>
              <w:jc w:val="left"/>
            </w:pPr>
            <w:r>
              <w:t xml:space="preserve">Weight decay</w:t>
            </w:r>
          </w:p>
        </w:tc>
        <w:tc>
          <w:tcPr/>
          <w:p>
            <w:pPr>
              <w:pStyle w:val="Compact"/>
              <w:jc w:val="left"/>
            </w:pPr>
            <m:oMath>
              <m:r>
                <m:t>1</m:t>
              </m:r>
              <m:r>
                <m:rPr>
                  <m:sty m:val="p"/>
                </m:rPr>
                <m:t>×</m:t>
              </m:r>
              <m:sSup>
                <m:e>
                  <m:r>
                    <m:t>10</m:t>
                  </m:r>
                </m:e>
                <m:sup>
                  <m:r>
                    <m:rPr>
                      <m:sty m:val="p"/>
                    </m:rPr>
                    <m:t>−</m:t>
                  </m:r>
                  <m:r>
                    <m:t>4</m:t>
                  </m:r>
                </m:sup>
              </m:sSup>
            </m:oMath>
          </w:p>
        </w:tc>
        <w:tc>
          <w:tcPr/>
          <w:p>
            <w:pPr>
              <w:pStyle w:val="Compact"/>
              <w:jc w:val="left"/>
            </w:pPr>
            <m:oMath>
              <m:r>
                <m:t>1</m:t>
              </m:r>
              <m:r>
                <m:rPr>
                  <m:sty m:val="p"/>
                </m:rPr>
                <m:t>×</m:t>
              </m:r>
              <m:sSup>
                <m:e>
                  <m:r>
                    <m:t>10</m:t>
                  </m:r>
                </m:e>
                <m:sup>
                  <m:r>
                    <m:rPr>
                      <m:sty m:val="p"/>
                    </m:rPr>
                    <m:t>−</m:t>
                  </m:r>
                  <m:r>
                    <m:t>4</m:t>
                  </m:r>
                </m:sup>
              </m:sSup>
            </m:oMath>
          </w:p>
        </w:tc>
        <w:tc>
          <w:tcPr/>
          <w:p>
            <w:pPr>
              <w:pStyle w:val="Compact"/>
              <w:jc w:val="left"/>
            </w:pPr>
            <w:r>
              <w:t xml:space="preserve">L2 regularization against overfitting</w:t>
            </w:r>
          </w:p>
        </w:tc>
      </w:tr>
      <w:tr>
        <w:tc>
          <w:tcPr/>
          <w:p>
            <w:pPr>
              <w:pStyle w:val="Compact"/>
              <w:jc w:val="left"/>
            </w:pPr>
            <w:r>
              <w:t xml:space="preserve">LR scheduler</w:t>
            </w:r>
          </w:p>
        </w:tc>
        <w:tc>
          <w:tcPr/>
          <w:p>
            <w:pPr>
              <w:pStyle w:val="Compact"/>
              <w:jc w:val="left"/>
            </w:pPr>
            <w:r>
              <w:t xml:space="preserve">CosineWarmRestarts [12]</w:t>
            </w:r>
          </w:p>
        </w:tc>
        <w:tc>
          <w:tcPr/>
          <w:p>
            <w:pPr>
              <w:pStyle w:val="Compact"/>
              <w:jc w:val="left"/>
            </w:pPr>
            <w:r>
              <w:t xml:space="preserve">CosineWarmRestarts [12]</w:t>
            </w:r>
          </w:p>
        </w:tc>
        <w:tc>
          <w:tcPr/>
          <w:p>
            <w:pPr>
              <w:pStyle w:val="Compact"/>
              <w:jc w:val="left"/>
            </w:pPr>
            <w:r>
              <w:t xml:space="preserve">Avoids local minima trapping</w:t>
            </w:r>
          </w:p>
        </w:tc>
      </w:tr>
      <w:tr>
        <w:tc>
          <w:tcPr/>
          <w:p>
            <w:pPr>
              <w:pStyle w:val="Compact"/>
              <w:jc w:val="left"/>
            </w:pPr>
            <w:r>
              <w:t xml:space="preserve">Scheduler</w:t>
            </w:r>
            <w:r>
              <w:t xml:space="preserve"> </w:t>
            </w:r>
            <m:oMath>
              <m:sSub>
                <m:e>
                  <m:r>
                    <m:t>T</m:t>
                  </m:r>
                </m:e>
                <m:sub>
                  <m:r>
                    <m:t>0</m:t>
                  </m:r>
                </m:sub>
              </m:sSub>
            </m:oMath>
          </w:p>
        </w:tc>
        <w:tc>
          <w:tcPr/>
          <w:p>
            <w:pPr>
              <w:pStyle w:val="Compact"/>
              <w:jc w:val="left"/>
            </w:pPr>
            <w:r>
              <w:t xml:space="preserve">50 epochs</w:t>
            </w:r>
          </w:p>
        </w:tc>
        <w:tc>
          <w:tcPr/>
          <w:p>
            <w:pPr>
              <w:pStyle w:val="Compact"/>
              <w:jc w:val="left"/>
            </w:pPr>
            <w:r>
              <w:t xml:space="preserve">200 epochs</w:t>
            </w:r>
          </w:p>
        </w:tc>
        <w:tc>
          <w:tcPr/>
          <w:p>
            <w:pPr>
              <w:pStyle w:val="Compact"/>
              <w:jc w:val="left"/>
            </w:pPr>
            <w:r>
              <w:t xml:space="preserve">Longer cycle prevents premature warm restart for N=10</w:t>
            </w:r>
          </w:p>
        </w:tc>
      </w:tr>
      <w:tr>
        <w:tc>
          <w:tcPr/>
          <w:p>
            <w:pPr>
              <w:pStyle w:val="Compact"/>
              <w:jc w:val="left"/>
            </w:pPr>
            <w:r>
              <w:t xml:space="preserve">Max epochs</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Upper bound; early stopping applies</w:t>
            </w:r>
          </w:p>
        </w:tc>
      </w:tr>
      <w:tr>
        <w:tc>
          <w:tcPr/>
          <w:p>
            <w:pPr>
              <w:pStyle w:val="Compact"/>
              <w:jc w:val="left"/>
            </w:pPr>
            <w:r>
              <w:t xml:space="preserve">Early stopping patience</w:t>
            </w:r>
          </w:p>
        </w:tc>
        <w:tc>
          <w:tcPr/>
          <w:p>
            <w:pPr>
              <w:pStyle w:val="Compact"/>
              <w:jc w:val="left"/>
            </w:pPr>
            <w:r>
              <w:t xml:space="preserve">50</w:t>
            </w:r>
          </w:p>
        </w:tc>
        <w:tc>
          <w:tcPr/>
          <w:p>
            <w:pPr>
              <w:pStyle w:val="Compact"/>
              <w:jc w:val="left"/>
            </w:pPr>
            <w:r>
              <w:t xml:space="preserve">100</w:t>
            </w:r>
          </w:p>
        </w:tc>
        <w:tc>
          <w:tcPr/>
          <w:p>
            <w:pPr>
              <w:pStyle w:val="Compact"/>
              <w:jc w:val="left"/>
            </w:pPr>
            <w:r>
              <w:t xml:space="preserve">More patience for slower N=10 convergence</w:t>
            </w:r>
          </w:p>
        </w:tc>
      </w:tr>
      <w:tr>
        <w:tc>
          <w:tcPr/>
          <w:p>
            <w:pPr>
              <w:pStyle w:val="Compact"/>
              <w:jc w:val="left"/>
            </w:pPr>
            <w:r>
              <w:t xml:space="preserve">Batch size</w:t>
            </w:r>
          </w:p>
        </w:tc>
        <w:tc>
          <w:tcPr/>
          <w:p>
            <w:pPr>
              <w:pStyle w:val="Compact"/>
              <w:jc w:val="left"/>
            </w:pPr>
            <w:r>
              <w:t xml:space="preserve">64</w:t>
            </w:r>
          </w:p>
        </w:tc>
        <w:tc>
          <w:tcPr/>
          <w:p>
            <w:pPr>
              <w:pStyle w:val="Compact"/>
              <w:jc w:val="left"/>
            </w:pPr>
            <w:r>
              <w:t xml:space="preserve">16</w:t>
            </w:r>
          </w:p>
        </w:tc>
        <w:tc>
          <w:tcPr/>
          <w:p>
            <w:pPr>
              <w:pStyle w:val="Compact"/>
              <w:jc w:val="left"/>
            </w:pPr>
            <w:r>
              <w:t xml:space="preserve">Smaller batches increase gradient updates per epoch</w:t>
            </w:r>
          </w:p>
        </w:tc>
      </w:tr>
      <w:tr>
        <w:tc>
          <w:tcPr/>
          <w:p>
            <w:pPr>
              <w:pStyle w:val="Compact"/>
              <w:jc w:val="left"/>
            </w:pPr>
            <w:r>
              <w:t xml:space="preserve">Physics weight</w:t>
            </w:r>
            <w:r>
              <w:t xml:space="preserve"> </w:t>
            </w:r>
            <m:oMath>
              <m:sSub>
                <m:e>
                  <m:r>
                    <m:t>λ</m:t>
                  </m:r>
                </m:e>
                <m:sub>
                  <m:r>
                    <m:t>p</m:t>
                  </m:r>
                </m:sub>
              </m:sSub>
            </m:oMath>
          </w:p>
        </w:tc>
        <w:tc>
          <w:tcPr/>
          <w:p>
            <w:pPr>
              <w:pStyle w:val="Compact"/>
              <w:jc w:val="left"/>
            </w:pPr>
            <w:r>
              <w:t xml:space="preserve">0.1 (adaptive)</w:t>
            </w:r>
          </w:p>
        </w:tc>
        <w:tc>
          <w:tcPr/>
          <w:p>
            <w:pPr>
              <w:pStyle w:val="Compact"/>
              <w:jc w:val="left"/>
            </w:pPr>
            <w:r>
              <w:t xml:space="preserve">0.1 (adaptive)</w:t>
            </w:r>
          </w:p>
        </w:tc>
        <w:tc>
          <w:tcPr/>
          <w:p>
            <w:pPr>
              <w:pStyle w:val="Compact"/>
              <w:jc w:val="left"/>
            </w:pPr>
            <w:r>
              <w:t xml:space="preserve">Balanced via self-adaptive scheme [15]</w:t>
            </w:r>
          </w:p>
        </w:tc>
      </w:tr>
      <w:tr>
        <w:tc>
          <w:tcPr/>
          <w:p>
            <w:pPr>
              <w:pStyle w:val="Compact"/>
              <w:jc w:val="left"/>
            </w:pPr>
            <w:r>
              <w:t xml:space="preserve">Weight initialization</w:t>
            </w:r>
          </w:p>
        </w:tc>
        <w:tc>
          <w:tcPr/>
          <w:p>
            <w:pPr>
              <w:pStyle w:val="Compact"/>
              <w:jc w:val="left"/>
            </w:pPr>
            <w:r>
              <w:t xml:space="preserve">Kaiming uniform [14]</w:t>
            </w:r>
          </w:p>
        </w:tc>
        <w:tc>
          <w:tcPr/>
          <w:p>
            <w:pPr>
              <w:pStyle w:val="Compact"/>
              <w:jc w:val="left"/>
            </w:pPr>
            <w:r>
              <w:t xml:space="preserve">Kaiming uniform [14]</w:t>
            </w:r>
          </w:p>
        </w:tc>
        <w:tc>
          <w:tcPr/>
          <w:p>
            <w:pPr>
              <w:pStyle w:val="Compact"/>
              <w:jc w:val="left"/>
            </w:pPr>
            <w:r>
              <w:t xml:space="preserve">Optimal for ReLU activations</w:t>
            </w:r>
          </w:p>
        </w:tc>
      </w:tr>
    </w:tbl>
    <w:p>
      <w:pPr>
        <w:pStyle w:val="BodyText"/>
      </w:pPr>
      <w:r>
        <w:t xml:space="preserve">The</w:t>
      </w:r>
      <w:r>
        <w:t xml:space="preserve"> </w:t>
      </w:r>
      <m:oMath>
        <m:r>
          <m:t>N</m:t>
        </m:r>
        <m:r>
          <m:rPr>
            <m:sty m:val="p"/>
          </m:rPr>
          <m:t>=</m:t>
        </m:r>
        <m:r>
          <m:t>10</m:t>
        </m:r>
      </m:oMath>
      <w:r>
        <w:t xml:space="preserve"> </w:t>
      </w:r>
      <w:r>
        <w:t xml:space="preserve">training required a longer cosine annealing cycle (</w:t>
      </w:r>
      <m:oMath>
        <m:sSub>
          <m:e>
            <m:r>
              <m:t>T</m:t>
            </m:r>
          </m:e>
          <m:sub>
            <m:r>
              <m:t>0</m:t>
            </m:r>
          </m:sub>
        </m:sSub>
        <m:r>
          <m:rPr>
            <m:sty m:val="p"/>
          </m:rPr>
          <m:t>=</m:t>
        </m:r>
        <m:r>
          <m:t>200</m:t>
        </m:r>
      </m:oMath>
      <w:r>
        <w:t xml:space="preserve"> </w:t>
      </w:r>
      <w:r>
        <w:t xml:space="preserve">vs. 50)</w:t>
      </w:r>
      <w:r>
        <w:t xml:space="preserve"> </w:t>
      </w:r>
      <w:r>
        <w:t xml:space="preserve">to prevent warm restarts from destabilizing the learned bias before convergence —</w:t>
      </w:r>
      <w:r>
        <w:t xml:space="preserve"> </w:t>
      </w:r>
      <w:r>
        <w:t xml:space="preserve">a finding consistent with the increased output complexity of 10 correlated stories.</w:t>
      </w:r>
    </w:p>
    <w:p>
      <w:pPr>
        <w:pStyle w:val="BodyText"/>
      </w:pPr>
      <w:r>
        <w:t xml:space="preserve">The dataset is split into train / validation / test at a 70 / 15 / 15 ratio.</w:t>
      </w:r>
      <w:r>
        <w:t xml:space="preserve"> </w:t>
      </w:r>
      <w:r>
        <w:t xml:space="preserve">Splits are performed at the record level (not sample level) to prevent</w:t>
      </w:r>
      <w:r>
        <w:t xml:space="preserve"> </w:t>
      </w:r>
      <w:r>
        <w:t xml:space="preserve">data leakage between augmented variants of the same earthquake record.</w:t>
      </w:r>
      <w:r>
        <w:t xml:space="preserve"> </w:t>
      </w:r>
      <w:r>
        <w:t xml:space="preserve">The best checkpoint (minimum validation loss) is saved and used for all</w:t>
      </w:r>
      <w:r>
        <w:t xml:space="preserve"> </w:t>
      </w:r>
      <w:r>
        <w:t xml:space="preserve">reported evaluations.</w:t>
      </w:r>
    </w:p>
    <w:bookmarkEnd w:id="24"/>
    <w:bookmarkStart w:id="25" w:name="reproducibility-framework"/>
    <w:p>
      <w:pPr>
        <w:pStyle w:val="Heading2"/>
      </w:pPr>
      <w:r>
        <w:t xml:space="preserve">3.6 Reproducibility Framework</w:t>
      </w:r>
    </w:p>
    <w:p>
      <w:pPr>
        <w:pStyle w:val="FirstParagraph"/>
      </w:pPr>
      <w:r>
        <w:t xml:space="preserve">A recurring failure mode in multi-script machine learning pipelines is</w:t>
      </w:r>
      <w:r>
        <w:t xml:space="preserve"> </w:t>
      </w:r>
      <w:r>
        <w:t xml:space="preserve">parameter inconsistency between the simulation, preprocessing, and training</w:t>
      </w:r>
      <w:r>
        <w:t xml:space="preserve"> </w:t>
      </w:r>
      <w:r>
        <w:t xml:space="preserve">stages — particularly the mismatch of</w:t>
      </w:r>
      <w:r>
        <w:t xml:space="preserve"> </w:t>
      </w:r>
      <m:oMath>
        <m:r>
          <m:t>N</m:t>
        </m:r>
      </m:oMath>
      <w:r>
        <w:t xml:space="preserve"> </w:t>
      </w:r>
      <w:r>
        <w:t xml:space="preserve">(number of stories) across pipeline</w:t>
      </w:r>
      <w:r>
        <w:t xml:space="preserve"> </w:t>
      </w:r>
      <w:r>
        <w:t xml:space="preserve">stages when scaling from</w:t>
      </w:r>
      <w:r>
        <w:t xml:space="preserve"> </w:t>
      </w:r>
      <m:oMath>
        <m:r>
          <m:t>N</m:t>
        </m:r>
        <m:r>
          <m:rPr>
            <m:sty m:val="p"/>
          </m:rPr>
          <m:t>=</m:t>
        </m:r>
        <m:r>
          <m:t>3</m:t>
        </m:r>
      </m:oMath>
      <w:r>
        <w:t xml:space="preserve"> </w:t>
      </w:r>
      <w:r>
        <w:t xml:space="preserve">to</w:t>
      </w:r>
      <w:r>
        <w:t xml:space="preserve"> </w:t>
      </w:r>
      <m:oMath>
        <m:r>
          <m:t>N</m:t>
        </m:r>
        <m:r>
          <m:rPr>
            <m:sty m:val="p"/>
          </m:rPr>
          <m:t>=</m:t>
        </m:r>
        <m:r>
          <m:t>10</m:t>
        </m:r>
      </m:oMath>
      <w:r>
        <w:t xml:space="preserve">. This study implements a centralized</w:t>
      </w:r>
      <w:r>
        <w:t xml:space="preserve"> </w:t>
      </w:r>
      <w:r>
        <w:rPr>
          <w:rStyle w:val="VerbatimChar"/>
        </w:rPr>
        <w:t xml:space="preserve">GlobalConfig</w:t>
      </w:r>
      <w:r>
        <w:t xml:space="preserve"> </w:t>
      </w:r>
      <w:r>
        <w:t xml:space="preserve">serialization framework to prevent such errors.</w:t>
      </w:r>
    </w:p>
    <w:p>
      <w:pPr>
        <w:pStyle w:val="BodyText"/>
      </w:pPr>
      <w:r>
        <w:t xml:space="preserve">At the end of each simulation campaign,</w:t>
      </w:r>
      <w:r>
        <w:t xml:space="preserve"> </w:t>
      </w:r>
      <w:r>
        <w:rPr>
          <w:rStyle w:val="VerbatimChar"/>
        </w:rPr>
        <w:t xml:space="preserve">data_factory.py</w:t>
      </w:r>
      <w:r>
        <w:t xml:space="preserve"> </w:t>
      </w:r>
      <w:r>
        <w:t xml:space="preserve">writes a</w:t>
      </w:r>
      <w:r>
        <w:t xml:space="preserve"> </w:t>
      </w:r>
      <w:r>
        <w:rPr>
          <w:rStyle w:val="VerbatimChar"/>
        </w:rPr>
        <w:t xml:space="preserve">global_config.json</w:t>
      </w:r>
      <w:r>
        <w:t xml:space="preserve"> </w:t>
      </w:r>
      <w:r>
        <w:t xml:space="preserve">file to the output directory encoding</w:t>
      </w:r>
      <w:r>
        <w:t xml:space="preserve"> </w:t>
      </w:r>
      <m:oMath>
        <m:r>
          <m:t>N</m:t>
        </m:r>
      </m:oMath>
      <w:r>
        <w:t xml:space="preserve">,</w:t>
      </w:r>
      <w:r>
        <w:t xml:space="preserve"> </w:t>
      </w:r>
      <m:oMath>
        <m:sSub>
          <m:e>
            <m:r>
              <m:t>n</m:t>
            </m:r>
          </m:e>
          <m:sub>
            <m:r>
              <m:t>b</m:t>
            </m:r>
            <m:r>
              <m:t>a</m:t>
            </m:r>
            <m:r>
              <m:t>y</m:t>
            </m:r>
            <m:r>
              <m:t>s</m:t>
            </m:r>
          </m:sub>
        </m:sSub>
      </m:oMath>
      <w:r>
        <w:t xml:space="preserve">,</w:t>
      </w:r>
      <w:r>
        <w:t xml:space="preserve"> </w:t>
      </w:r>
      <m:oMath>
        <m:r>
          <m:rPr>
            <m:sty m:val="p"/>
          </m:rPr>
          <m:t>Δ</m:t>
        </m:r>
        <m:r>
          <m:t>t</m:t>
        </m:r>
      </m:oMath>
      <w:r>
        <w:t xml:space="preserve">, and</w:t>
      </w:r>
      <w:r>
        <w:t xml:space="preserve"> </w:t>
      </w:r>
      <m:oMath>
        <m:r>
          <m:t>T</m:t>
        </m:r>
      </m:oMath>
      <w:r>
        <w:t xml:space="preserve">. The preprocessing pipeline (</w:t>
      </w:r>
      <w:r>
        <w:rPr>
          <w:rStyle w:val="VerbatimChar"/>
        </w:rPr>
        <w:t xml:space="preserve">pipeline.py</w:t>
      </w:r>
      <w:r>
        <w:t xml:space="preserve">) reads and</w:t>
      </w:r>
      <w:r>
        <w:t xml:space="preserve"> </w:t>
      </w:r>
      <w:r>
        <w:t xml:space="preserve">validates this file at startup, raising a descriptive</w:t>
      </w:r>
      <w:r>
        <w:t xml:space="preserve"> </w:t>
      </w:r>
      <w:r>
        <w:rPr>
          <w:rStyle w:val="VerbatimChar"/>
        </w:rPr>
        <w:t xml:space="preserve">ValueError</w:t>
      </w:r>
      <w:r>
        <w:t xml:space="preserve"> </w:t>
      </w:r>
      <w:r>
        <w:t xml:space="preserve">if the</w:t>
      </w:r>
      <w:r>
        <w:t xml:space="preserve"> </w:t>
      </w:r>
      <w:r>
        <w:rPr>
          <w:rStyle w:val="VerbatimChar"/>
        </w:rPr>
        <w:t xml:space="preserve">--n-stories</w:t>
      </w:r>
      <w:r>
        <w:t xml:space="preserve"> </w:t>
      </w:r>
      <w:r>
        <w:t xml:space="preserve">CLI argument conflicts with the stored simulation configuration.</w:t>
      </w:r>
      <w:r>
        <w:t xml:space="preserve"> </w:t>
      </w:r>
      <w:r>
        <w:t xml:space="preserve">The training script (</w:t>
      </w:r>
      <w:r>
        <w:rPr>
          <w:rStyle w:val="VerbatimChar"/>
        </w:rPr>
        <w:t xml:space="preserve">train.py</w:t>
      </w:r>
      <w:r>
        <w:t xml:space="preserve">) auto-detects</w:t>
      </w:r>
      <w:r>
        <w:t xml:space="preserve"> </w:t>
      </w:r>
      <m:oMath>
        <m:r>
          <m:t>N</m:t>
        </m:r>
      </m:oMath>
      <w:r>
        <w:t xml:space="preserve"> </w:t>
      </w:r>
      <w:r>
        <w:t xml:space="preserve">from the saved configuration,</w:t>
      </w:r>
      <w:r>
        <w:t xml:space="preserve"> </w:t>
      </w:r>
      <w:r>
        <w:t xml:space="preserve">eliminating the need for manual synchronization across three separate entry</w:t>
      </w:r>
      <w:r>
        <w:t xml:space="preserve"> </w:t>
      </w:r>
      <w:r>
        <w:t xml:space="preserve">points.</w:t>
      </w:r>
    </w:p>
    <w:p>
      <w:pPr>
        <w:pStyle w:val="BodyText"/>
      </w:pPr>
      <w:r>
        <w:t xml:space="preserve">This architecture ensures that:</w:t>
      </w:r>
    </w:p>
    <w:p>
      <w:pPr>
        <w:pStyle w:val="BodyText"/>
      </w:pPr>
      <m:oMathPara>
        <m:oMathParaPr>
          <m:jc m:val="center"/>
        </m:oMathParaPr>
        <m:oMath>
          <m:r>
            <m:rPr>
              <m:nor/>
              <m:sty m:val="p"/>
            </m:rPr>
            <m:t>GlobalConfig</m:t>
          </m:r>
          <m:r>
            <m:rPr>
              <m:sty m:val="p"/>
            </m:rPr>
            <m:t>(</m:t>
          </m:r>
          <m:r>
            <m:t>N</m:t>
          </m:r>
          <m:r>
            <m:rPr>
              <m:sty m:val="p"/>
            </m:rPr>
            <m:t>,</m:t>
          </m:r>
          <m:r>
            <m:t> </m:t>
          </m:r>
          <m:sSub>
            <m:e>
              <m:r>
                <m:t>n</m:t>
              </m:r>
            </m:e>
            <m:sub>
              <m:r>
                <m:t>b</m:t>
              </m:r>
              <m:r>
                <m:t>a</m:t>
              </m:r>
              <m:r>
                <m:t>y</m:t>
              </m:r>
              <m:r>
                <m:t>s</m:t>
              </m:r>
            </m:sub>
          </m:sSub>
          <m:r>
            <m:rPr>
              <m:sty m:val="p"/>
            </m:rPr>
            <m:t>,</m:t>
          </m:r>
          <m:r>
            <m:t> </m:t>
          </m:r>
          <m:r>
            <m:rPr>
              <m:sty m:val="p"/>
            </m:rPr>
            <m:t>Δ</m:t>
          </m:r>
          <m:r>
            <m:t>t</m:t>
          </m:r>
          <m:r>
            <m:rPr>
              <m:sty m:val="p"/>
            </m:rPr>
            <m:t>,</m:t>
          </m:r>
          <m:r>
            <m:t> </m:t>
          </m:r>
          <m:r>
            <m:t>T</m:t>
          </m:r>
          <m:r>
            <m:rPr>
              <m:sty m:val="p"/>
            </m:rPr>
            <m:t>)</m:t>
          </m:r>
          <m:r>
            <m:rPr>
              <m:sty m:val="p"/>
            </m:rPr>
            <m:t>:</m:t>
          </m:r>
          <m:r>
            <m:rPr>
              <m:nor/>
              <m:sty m:val="p"/>
            </m:rPr>
            <m:t>data_factory</m:t>
          </m:r>
          <m:limUpp>
            <m:e>
              <m:r>
                <m:rPr>
                  <m:sty m:val="p"/>
                </m:rPr>
                <m:t>→</m:t>
              </m:r>
            </m:e>
            <m:lim>
              <m:r>
                <m:rPr>
                  <m:nor/>
                  <m:sty m:val="p"/>
                </m:rPr>
                <m:t>validate</m:t>
              </m:r>
            </m:lim>
          </m:limUpp>
          <m:r>
            <m:rPr>
              <m:nor/>
              <m:sty m:val="p"/>
            </m:rPr>
            <m:t>pipeline</m:t>
          </m:r>
          <m:limUpp>
            <m:e>
              <m:r>
                <m:rPr>
                  <m:sty m:val="p"/>
                </m:rPr>
                <m:t>→</m:t>
              </m:r>
            </m:e>
            <m:lim>
              <m:r>
                <m:rPr>
                  <m:nor/>
                  <m:sty m:val="p"/>
                </m:rPr>
                <m:t>auto-detect</m:t>
              </m:r>
            </m:lim>
          </m:limUpp>
          <m:r>
            <m:rPr>
              <m:nor/>
              <m:sty m:val="p"/>
            </m:rPr>
            <m:t>train</m:t>
          </m:r>
        </m:oMath>
      </m:oMathPara>
    </w:p>
    <w:bookmarkEnd w:id="25"/>
    <w:bookmarkStart w:id="26" w:name="benchmarking-protocol"/>
    <w:p>
      <w:pPr>
        <w:pStyle w:val="Heading2"/>
      </w:pPr>
      <w:r>
        <w:t xml:space="preserve">3.7 Benchmarking Protocol</w:t>
      </w:r>
    </w:p>
    <w:p>
      <w:pPr>
        <w:pStyle w:val="FirstParagraph"/>
      </w:pPr>
      <w:r>
        <w:t xml:space="preserve">Real-time applicability requires inference latency</w:t>
      </w:r>
      <w:r>
        <w:t xml:space="preserve"> </w:t>
      </w:r>
      <m:oMath>
        <m:r>
          <m:rPr>
            <m:sty m:val="p"/>
          </m:rPr>
          <m:t>≤</m:t>
        </m:r>
        <m:r>
          <m:t>100</m:t>
        </m:r>
      </m:oMath>
      <w:r>
        <w:t xml:space="preserve"> </w:t>
      </w:r>
      <w:r>
        <w:t xml:space="preserve">ms for deployment</w:t>
      </w:r>
      <w:r>
        <w:t xml:space="preserve"> </w:t>
      </w:r>
      <w:r>
        <w:t xml:space="preserve">in structural health monitoring loops and semi-active damper control systems.</w:t>
      </w:r>
      <w:r>
        <w:t xml:space="preserve"> </w:t>
      </w:r>
      <w:r>
        <w:t xml:space="preserve">Latency is measured on a standard CPU environment (Intel Core processor, no GPU</w:t>
      </w:r>
      <w:r>
        <w:t xml:space="preserve"> </w:t>
      </w:r>
      <w:r>
        <w:t xml:space="preserve">acceleration) using the following protocol:</w:t>
      </w:r>
    </w:p>
    <w:p>
      <w:pPr>
        <w:pStyle w:val="Compact"/>
        <w:numPr>
          <w:ilvl w:val="0"/>
          <w:numId w:val="1006"/>
        </w:numPr>
      </w:pPr>
      <w:r>
        <w:rPr>
          <w:b/>
          <w:bCs/>
        </w:rPr>
        <w:t xml:space="preserve">Cold start</w:t>
      </w:r>
      <w:r>
        <w:t xml:space="preserve">: First inference immediately after model load (cache empty).</w:t>
      </w:r>
    </w:p>
    <w:p>
      <w:pPr>
        <w:pStyle w:val="Compact"/>
        <w:numPr>
          <w:ilvl w:val="0"/>
          <w:numId w:val="1006"/>
        </w:numPr>
      </w:pPr>
      <w:r>
        <w:rPr>
          <w:b/>
          <w:bCs/>
        </w:rPr>
        <w:t xml:space="preserve">Warm inference</w:t>
      </w:r>
      <w:r>
        <w:t xml:space="preserve">: Mean of 200 consecutive predictions after 10 warm-up</w:t>
      </w:r>
      <w:r>
        <w:t xml:space="preserve"> </w:t>
      </w:r>
      <w:r>
        <w:t xml:space="preserve">runs (cache filled); this is the operationally relevant metric.</w:t>
      </w:r>
    </w:p>
    <w:p>
      <w:pPr>
        <w:pStyle w:val="Compact"/>
        <w:numPr>
          <w:ilvl w:val="0"/>
          <w:numId w:val="1006"/>
        </w:numPr>
      </w:pPr>
      <w:r>
        <w:rPr>
          <w:b/>
          <w:bCs/>
        </w:rPr>
        <w:t xml:space="preserve">Batch throughput</w:t>
      </w:r>
      <w:r>
        <w:t xml:space="preserve">: Predictions per second at batch sizes 1, 8, 32, and</w:t>
      </w:r>
      <w:r>
        <w:t xml:space="preserve"> </w:t>
      </w:r>
      <w:r>
        <w:t xml:space="preserve">128 to characterize deployment flexibility.</w:t>
      </w:r>
    </w:p>
    <w:p>
      <w:pPr>
        <w:pStyle w:val="FirstParagraph"/>
      </w:pPr>
      <w:r>
        <w:t xml:space="preserve">All reported latency figures correspond to batch size 1 (single-record,</w:t>
      </w:r>
      <w:r>
        <w:t xml:space="preserve"> </w:t>
      </w:r>
      <w:r>
        <w:t xml:space="preserve">single-query mode) as required for real-time structural monitoring where</w:t>
      </w:r>
      <w:r>
        <w:t xml:space="preserve"> </w:t>
      </w:r>
      <w:r>
        <w:t xml:space="preserve">sensor streams arrive sequentially.</w:t>
      </w:r>
    </w:p>
    <w:p>
      <w:r>
        <w:pict>
          <v:rect style="width:0;height:1.5pt" o:hralign="center" o:hrstd="t" o:hr="t"/>
        </w:pict>
      </w:r>
    </w:p>
    <w:bookmarkEnd w:id="26"/>
    <w:bookmarkEnd w:id="27"/>
    <w:bookmarkStart w:id="42" w:name="results"/>
    <w:p>
      <w:pPr>
        <w:pStyle w:val="Heading1"/>
      </w:pPr>
      <w:r>
        <w:t xml:space="preserve">4. Results</w:t>
      </w:r>
    </w:p>
    <w:bookmarkStart w:id="30" w:name="openseespy-simulation-results"/>
    <w:p>
      <w:pPr>
        <w:pStyle w:val="Heading2"/>
      </w:pPr>
      <w:r>
        <w:t xml:space="preserve">4.1 OpenSeesPy Simulation Results</w:t>
      </w:r>
    </w:p>
    <w:p>
      <w:pPr>
        <w:pStyle w:val="FirstParagraph"/>
      </w:pPr>
      <w:r>
        <w:t xml:space="preserve">Nonlinear time history analyses (NLTHA) were performed on a parametric</w:t>
      </w:r>
      <w:r>
        <w:t xml:space="preserve"> </w:t>
      </w:r>
      <m:oMath>
        <m:r>
          <m:t>N</m:t>
        </m:r>
      </m:oMath>
      <w:r>
        <w:t xml:space="preserve">-story RC frame model using OpenSeesPy. Two datasets were generated:</w:t>
      </w:r>
    </w:p>
    <w:bookmarkStart w:id="28" w:name="synthetic-validation-dataset"/>
    <w:p>
      <w:pPr>
        <w:pStyle w:val="Heading3"/>
      </w:pPr>
      <w:r>
        <w:t xml:space="preserve">4.1.1 Synthetic Validation Dataset</w:t>
      </w:r>
    </w:p>
    <w:p>
      <w:pPr>
        <w:pStyle w:val="FirstParagraph"/>
      </w:pPr>
      <w:r>
        <w:t xml:space="preserve">A batch of 20 synthetic ground motions (band-limited white noise) was generated for initial model verification using a 3-story, 3-bay frame (</w:t>
      </w:r>
      <m:oMath>
        <m:r>
          <m:t>N</m:t>
        </m:r>
        <m:r>
          <m:rPr>
            <m:sty m:val="p"/>
          </m:rPr>
          <m:t>=</m:t>
        </m:r>
        <m:r>
          <m:t>3</m:t>
        </m:r>
      </m:oMath>
      <w:r>
        <w:t xml:space="preserve">).</w:t>
      </w:r>
    </w:p>
    <w:p>
      <w:pPr>
        <w:pStyle w:val="Compact"/>
        <w:numPr>
          <w:ilvl w:val="0"/>
          <w:numId w:val="1007"/>
        </w:numPr>
      </w:pPr>
      <w:r>
        <w:rPr>
          <w:b/>
          <w:bCs/>
        </w:rPr>
        <w:t xml:space="preserve">Convergence Rate</w:t>
      </w:r>
      <w:r>
        <w:t xml:space="preserve">: 100% (20/20 records)</w:t>
      </w:r>
    </w:p>
    <w:p>
      <w:pPr>
        <w:pStyle w:val="Compact"/>
        <w:numPr>
          <w:ilvl w:val="0"/>
          <w:numId w:val="1007"/>
        </w:numPr>
      </w:pPr>
      <w:r>
        <w:rPr>
          <w:b/>
          <w:bCs/>
        </w:rPr>
        <w:t xml:space="preserve">Peak IDR Range</w:t>
      </w:r>
      <w:r>
        <w:t xml:space="preserve">: 0.5%–1.5%</w:t>
      </w:r>
    </w:p>
    <w:p>
      <w:pPr>
        <w:pStyle w:val="Compact"/>
        <w:numPr>
          <w:ilvl w:val="0"/>
          <w:numId w:val="1007"/>
        </w:numPr>
      </w:pPr>
      <w:r>
        <w:rPr>
          <w:b/>
          <w:bCs/>
        </w:rPr>
        <w:t xml:space="preserve">Modal Periods</w:t>
      </w:r>
      <w:r>
        <w:t xml:space="preserve">:</w:t>
      </w:r>
      <w:r>
        <w:t xml:space="preserve"> </w:t>
      </w:r>
      <m:oMath>
        <m:sSub>
          <m:e>
            <m:r>
              <m:t>T</m:t>
            </m:r>
          </m:e>
          <m:sub>
            <m:r>
              <m:t>1</m:t>
            </m:r>
          </m:sub>
        </m:sSub>
        <m:r>
          <m:rPr>
            <m:sty m:val="p"/>
          </m:rPr>
          <m:t>=</m:t>
        </m:r>
        <m:r>
          <m:t>0.695</m:t>
        </m:r>
      </m:oMath>
      <w:r>
        <w:t xml:space="preserve"> </w:t>
      </w:r>
      <w:r>
        <w:t xml:space="preserve">s,</w:t>
      </w:r>
      <w:r>
        <w:t xml:space="preserve"> </w:t>
      </w:r>
      <m:oMath>
        <m:sSub>
          <m:e>
            <m:r>
              <m:t>T</m:t>
            </m:r>
          </m:e>
          <m:sub>
            <m:r>
              <m:t>2</m:t>
            </m:r>
          </m:sub>
        </m:sSub>
        <m:r>
          <m:rPr>
            <m:sty m:val="p"/>
          </m:rPr>
          <m:t>=</m:t>
        </m:r>
        <m:r>
          <m:t>0.209</m:t>
        </m:r>
      </m:oMath>
      <w:r>
        <w:t xml:space="preserve"> </w:t>
      </w:r>
      <w:r>
        <w:t xml:space="preserve">s,</w:t>
      </w:r>
      <w:r>
        <w:t xml:space="preserve"> </w:t>
      </w:r>
      <m:oMath>
        <m:sSub>
          <m:e>
            <m:r>
              <m:t>T</m:t>
            </m:r>
          </m:e>
          <m:sub>
            <m:r>
              <m:t>3</m:t>
            </m:r>
          </m:sub>
        </m:sSub>
        <m:r>
          <m:rPr>
            <m:sty m:val="p"/>
          </m:rPr>
          <m:t>=</m:t>
        </m:r>
        <m:r>
          <m:t>0.113</m:t>
        </m:r>
      </m:oMath>
      <w:r>
        <w:t xml:space="preserve"> </w:t>
      </w:r>
      <w:r>
        <w:t xml:space="preserve">s</w:t>
      </w:r>
    </w:p>
    <w:bookmarkEnd w:id="28"/>
    <w:bookmarkStart w:id="29" w:name="peer-nga-west2-real-data-campaign"/>
    <w:p>
      <w:pPr>
        <w:pStyle w:val="Heading3"/>
      </w:pPr>
      <w:r>
        <w:t xml:space="preserve">4.1.2 PEER NGA-West2 Real Data Campaign</w:t>
      </w:r>
    </w:p>
    <w:p>
      <w:pPr>
        <w:pStyle w:val="FirstParagraph"/>
      </w:pPr>
      <w:r>
        <w:t xml:space="preserve">The complete set of 299 real earthquake records from the PEER NGA-West2 database was processed through the same 3-story frame model using parallel computation (10 workers).</w:t>
      </w:r>
    </w:p>
    <w:p>
      <w:pPr>
        <w:pStyle w:val="Compact"/>
        <w:numPr>
          <w:ilvl w:val="0"/>
          <w:numId w:val="1008"/>
        </w:numPr>
      </w:pPr>
      <w:r>
        <w:rPr>
          <w:b/>
          <w:bCs/>
        </w:rPr>
        <w:t xml:space="preserve">Source Records</w:t>
      </w:r>
      <w:r>
        <w:t xml:space="preserve">: 299 AT2 components from the PEER NGA-West2 database</w:t>
      </w:r>
    </w:p>
    <w:p>
      <w:pPr>
        <w:pStyle w:val="Compact"/>
        <w:numPr>
          <w:ilvl w:val="0"/>
          <w:numId w:val="1008"/>
        </w:numPr>
      </w:pPr>
      <w:r>
        <w:rPr>
          <w:b/>
          <w:bCs/>
        </w:rPr>
        <w:t xml:space="preserve">Convergence Rate</w:t>
      </w:r>
      <w:r>
        <w:t xml:space="preserve">: 98.0% (293/299 records)</w:t>
      </w:r>
    </w:p>
    <w:p>
      <w:pPr>
        <w:pStyle w:val="Compact"/>
        <w:numPr>
          <w:ilvl w:val="0"/>
          <w:numId w:val="1008"/>
        </w:numPr>
      </w:pPr>
      <w:r>
        <w:rPr>
          <w:b/>
          <w:bCs/>
        </w:rPr>
        <w:t xml:space="preserve">Campaign Runtime</w:t>
      </w:r>
      <w:r>
        <w:t xml:space="preserve">: 49.5 minutes (parallelized via multiprocessing, reduced from ~14 hours sequential)</w:t>
      </w:r>
    </w:p>
    <w:p>
      <w:pPr>
        <w:pStyle w:val="Compact"/>
        <w:numPr>
          <w:ilvl w:val="0"/>
          <w:numId w:val="1008"/>
        </w:numPr>
      </w:pPr>
      <w:r>
        <w:rPr>
          <w:b/>
          <w:bCs/>
        </w:rPr>
        <w:t xml:space="preserve">Peak IDR Range</w:t>
      </w:r>
      <w:r>
        <w:t xml:space="preserve">: 0.2%–8.9%</w:t>
      </w:r>
    </w:p>
    <w:p>
      <w:pPr>
        <w:pStyle w:val="Compact"/>
        <w:numPr>
          <w:ilvl w:val="0"/>
          <w:numId w:val="1008"/>
        </w:numPr>
      </w:pPr>
      <w:r>
        <w:rPr>
          <w:b/>
          <w:bCs/>
        </w:rPr>
        <w:t xml:space="preserve">Notable Records</w:t>
      </w:r>
      <w:r>
        <w:t xml:space="preserve">: RSN121 (Friuli), RSN122 (Friuli), RSN162–164 (Imperial Valley), RSN338 (Coalinga)</w:t>
      </w:r>
    </w:p>
    <w:bookmarkEnd w:id="29"/>
    <w:bookmarkEnd w:id="30"/>
    <w:bookmarkStart w:id="31" w:name="data-pipeline-statistics"/>
    <w:p>
      <w:pPr>
        <w:pStyle w:val="Heading2"/>
      </w:pPr>
      <w:r>
        <w:t xml:space="preserve">4.2 Data Pipeline Statistics</w:t>
      </w:r>
    </w:p>
    <w:p>
      <w:pPr>
        <w:pStyle w:val="FirstParagraph"/>
      </w:pPr>
      <w:r>
        <w:t xml:space="preserve">The raw simulation data was processed into PyTorch [13] tensors via the automated pipeline. Records that did not converge or exhibited collapse-level drifts (IDR &gt; 10%) were automatically excluded.</w:t>
      </w:r>
    </w:p>
    <w:p>
      <w:pPr>
        <w:pStyle w:val="BodyText"/>
      </w:pPr>
      <w:r>
        <w:rPr>
          <w:b/>
          <w:bCs/>
        </w:rPr>
        <w:t xml:space="preserve">Table 5.</w:t>
      </w:r>
      <w:r>
        <w:t xml:space="preserve"> </w:t>
      </w:r>
      <w:r>
        <w:t xml:space="preserve">Data pipeline statistics for both simulation campaigns.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Synthetic</w:t>
            </w:r>
          </w:p>
        </w:tc>
        <w:tc>
          <w:tcPr/>
          <w:p>
            <w:pPr>
              <w:pStyle w:val="Compact"/>
              <w:jc w:val="left"/>
            </w:pPr>
            <w:r>
              <w:t xml:space="preserve">PEER (Real)</w:t>
            </w:r>
          </w:p>
        </w:tc>
      </w:tr>
      <w:tr>
        <w:tc>
          <w:tcPr/>
          <w:p>
            <w:pPr>
              <w:pStyle w:val="Compact"/>
              <w:jc w:val="left"/>
            </w:pPr>
            <w:r>
              <w:t xml:space="preserve">Source Records</w:t>
            </w:r>
          </w:p>
        </w:tc>
        <w:tc>
          <w:tcPr/>
          <w:p>
            <w:pPr>
              <w:pStyle w:val="Compact"/>
              <w:jc w:val="left"/>
            </w:pPr>
            <w:r>
              <w:t xml:space="preserve">20</w:t>
            </w:r>
          </w:p>
        </w:tc>
        <w:tc>
          <w:tcPr/>
          <w:p>
            <w:pPr>
              <w:pStyle w:val="Compact"/>
              <w:jc w:val="left"/>
            </w:pPr>
            <w:r>
              <w:t xml:space="preserve">299</w:t>
            </w:r>
          </w:p>
        </w:tc>
      </w:tr>
      <w:tr>
        <w:tc>
          <w:tcPr/>
          <w:p>
            <w:pPr>
              <w:pStyle w:val="Compact"/>
              <w:jc w:val="left"/>
            </w:pPr>
            <w:r>
              <w:t xml:space="preserve">Valid Records</w:t>
            </w:r>
          </w:p>
        </w:tc>
        <w:tc>
          <w:tcPr/>
          <w:p>
            <w:pPr>
              <w:pStyle w:val="Compact"/>
              <w:jc w:val="left"/>
            </w:pPr>
            <w:r>
              <w:t xml:space="preserve">20</w:t>
            </w:r>
          </w:p>
        </w:tc>
        <w:tc>
          <w:tcPr/>
          <w:p>
            <w:pPr>
              <w:pStyle w:val="Compact"/>
              <w:jc w:val="left"/>
            </w:pPr>
            <w:r>
              <w:t xml:space="preserve">289</w:t>
            </w:r>
          </w:p>
        </w:tc>
      </w:tr>
      <w:tr>
        <w:tc>
          <w:tcPr/>
          <w:p>
            <w:pPr>
              <w:pStyle w:val="Compact"/>
              <w:jc w:val="left"/>
            </w:pPr>
            <w:r>
              <w:t xml:space="preserve">Total Samples</w:t>
            </w:r>
          </w:p>
        </w:tc>
        <w:tc>
          <w:tcPr/>
          <w:p>
            <w:pPr>
              <w:pStyle w:val="Compact"/>
              <w:jc w:val="left"/>
            </w:pPr>
            <w:r>
              <w:t xml:space="preserve">228</w:t>
            </w:r>
          </w:p>
        </w:tc>
        <w:tc>
          <w:tcPr/>
          <w:p>
            <w:pPr>
              <w:pStyle w:val="Compact"/>
              <w:jc w:val="left"/>
            </w:pPr>
            <w:r>
              <w:t xml:space="preserve">5,058</w:t>
            </w:r>
          </w:p>
        </w:tc>
      </w:tr>
      <w:tr>
        <w:tc>
          <w:tcPr/>
          <w:p>
            <w:pPr>
              <w:pStyle w:val="Compact"/>
              <w:jc w:val="left"/>
            </w:pPr>
            <w:r>
              <w:t xml:space="preserve">Train / Val / Test</w:t>
            </w:r>
          </w:p>
        </w:tc>
        <w:tc>
          <w:tcPr/>
          <w:p>
            <w:pPr>
              <w:pStyle w:val="Compact"/>
              <w:jc w:val="left"/>
            </w:pPr>
            <w:r>
              <w:t xml:space="preserve">159 / 34 / 35</w:t>
            </w:r>
          </w:p>
        </w:tc>
        <w:tc>
          <w:tcPr/>
          <w:p>
            <w:pPr>
              <w:pStyle w:val="Compact"/>
              <w:jc w:val="left"/>
            </w:pPr>
            <w:r>
              <w:t xml:space="preserve">3,540 / 758 / 760</w:t>
            </w:r>
          </w:p>
        </w:tc>
      </w:tr>
      <w:tr>
        <w:tc>
          <w:tcPr/>
          <w:p>
            <w:pPr>
              <w:pStyle w:val="Compact"/>
              <w:jc w:val="left"/>
            </w:pPr>
            <w:r>
              <w:t xml:space="preserve">Tensor Shape (x)</w:t>
            </w:r>
          </w:p>
        </w:tc>
        <w:tc>
          <w:tcPr/>
          <w:p>
            <w:pPr>
              <w:pStyle w:val="Compact"/>
              <w:jc w:val="left"/>
            </w:pPr>
            <w:r>
              <w:t xml:space="preserve">[N, 1, 2048]</w:t>
            </w:r>
          </w:p>
        </w:tc>
        <w:tc>
          <w:tcPr/>
          <w:p>
            <w:pPr>
              <w:pStyle w:val="Compact"/>
              <w:jc w:val="left"/>
            </w:pPr>
            <w:r>
              <w:t xml:space="preserve">[N, 1, 2048]</w:t>
            </w:r>
          </w:p>
        </w:tc>
      </w:tr>
      <w:tr>
        <w:tc>
          <w:tcPr/>
          <w:p>
            <w:pPr>
              <w:pStyle w:val="Compact"/>
              <w:jc w:val="left"/>
            </w:pPr>
            <w:r>
              <w:t xml:space="preserve">Output Dimension (y)</w:t>
            </w:r>
          </w:p>
        </w:tc>
        <w:tc>
          <w:tcPr/>
          <w:p>
            <w:pPr>
              <w:pStyle w:val="Compact"/>
              <w:jc w:val="left"/>
            </w:pPr>
            <w:r>
              <w:t xml:space="preserve">3 stories</w:t>
            </w:r>
          </w:p>
        </w:tc>
        <w:tc>
          <w:tcPr/>
          <w:p>
            <w:pPr>
              <w:pStyle w:val="Compact"/>
              <w:jc w:val="left"/>
            </w:pPr>
            <w:r>
              <w:t xml:space="preserve">3 stories</w:t>
            </w:r>
          </w:p>
        </w:tc>
      </w:tr>
    </w:tbl>
    <w:p>
      <w:pPr>
        <w:pStyle w:val="BodyText"/>
      </w:pPr>
      <w:r>
        <w:rPr>
          <w:b/>
          <w:bCs/>
        </w:rPr>
        <w:t xml:space="preserve">Physics Tensors</w:t>
      </w:r>
      <w:r>
        <w:t xml:space="preserve">: Mass matrix (</w:t>
      </w:r>
      <m:oMath>
        <m:r>
          <m:t>M</m:t>
        </m:r>
      </m:oMath>
      <w:r>
        <w:t xml:space="preserve">), restoring forces (</w:t>
      </w:r>
      <m:oMath>
        <m:sSub>
          <m:e>
            <m:r>
              <m:t>f</m:t>
            </m:r>
          </m:e>
          <m:sub>
            <m:r>
              <m:t>i</m:t>
            </m:r>
            <m:r>
              <m:t>n</m:t>
            </m:r>
            <m:r>
              <m:t>t</m:t>
            </m:r>
          </m:sub>
        </m:sSub>
      </m:oMath>
      <w:r>
        <w:t xml:space="preserve">), and kinematic responses (</w:t>
      </w:r>
      <m:oMath>
        <m:acc>
          <m:accPr>
            <m:chr m:val="̇"/>
          </m:accPr>
          <m:e>
            <m:r>
              <m:t>u</m:t>
            </m:r>
          </m:e>
        </m:acc>
        <m:r>
          <m:rPr>
            <m:sty m:val="p"/>
          </m:rPr>
          <m:t>,</m:t>
        </m:r>
        <m:acc>
          <m:accPr>
            <m:chr m:val="̈"/>
          </m:accPr>
          <m:e>
            <m:r>
              <m:t>u</m:t>
            </m:r>
          </m:e>
        </m:acc>
      </m:oMath>
      <w:r>
        <w:t xml:space="preserve">) were verified non-zero, enabling the physics-guided loss.</w:t>
      </w:r>
    </w:p>
    <w:bookmarkEnd w:id="31"/>
    <w:bookmarkStart w:id="33" w:name="pgnn-training-performance-v1.6"/>
    <w:p>
      <w:pPr>
        <w:pStyle w:val="Heading2"/>
      </w:pPr>
      <w:r>
        <w:t xml:space="preserve">4.3 PgNN Training Performance (v1.6)</w:t>
      </w:r>
    </w:p>
    <w:p>
      <w:pPr>
        <w:pStyle w:val="FirstParagraph"/>
      </w:pPr>
      <w:r>
        <w:t xml:space="preserve">The final model (v1.6) incorporated three key architectural improvements:</w:t>
      </w:r>
      <w:r>
        <w:t xml:space="preserve"> </w:t>
      </w:r>
      <w:r>
        <w:t xml:space="preserve">1.</w:t>
      </w:r>
      <w:r>
        <w:t xml:space="preserve"> </w:t>
      </w:r>
      <w:r>
        <w:rPr>
          <w:b/>
          <w:bCs/>
        </w:rPr>
        <w:t xml:space="preserve">Temporal Self-Attention</w:t>
      </w:r>
      <w:r>
        <w:t xml:space="preserve">: A multi-head attention layer (heads=4, embed_dim=128) inserted after the CNN encoder to capture long-range temporal dependencies.</w:t>
      </w:r>
      <w:r>
        <w:t xml:space="preserve"> </w:t>
      </w:r>
      <w:r>
        <w:t xml:space="preserve">2.</w:t>
      </w:r>
      <w:r>
        <w:t xml:space="preserve"> </w:t>
      </w:r>
      <w:r>
        <w:rPr>
          <w:b/>
          <w:bCs/>
        </w:rPr>
        <w:t xml:space="preserve">Per-Story Weighted Loss</w:t>
      </w:r>
      <w:r>
        <w:t xml:space="preserve">: Inverse-variance weighting applied to the MSE loss to balance contribution from upper stories with smaller drift amplitudes (Story 3 weight</w:t>
      </w:r>
      <w:r>
        <w:t xml:space="preserve"> </w:t>
      </w:r>
      <m:oMath>
        <m:r>
          <m:rPr>
            <m:sty m:val="p"/>
          </m:rPr>
          <m:t>≈</m:t>
        </m:r>
        <m:r>
          <m:t>2.15</m:t>
        </m:r>
        <m:r>
          <m:rPr>
            <m:sty m:val="p"/>
          </m:rPr>
          <m:t>×</m:t>
        </m:r>
      </m:oMath>
      <w:r>
        <w:t xml:space="preserve">).</w:t>
      </w:r>
      <w:r>
        <w:t xml:space="preserve"> </w:t>
      </w:r>
      <w:r>
        <w:t xml:space="preserve">3.</w:t>
      </w:r>
      <w:r>
        <w:t xml:space="preserve"> </w:t>
      </w:r>
      <w:r>
        <w:rPr>
          <w:b/>
          <w:bCs/>
        </w:rPr>
        <w:t xml:space="preserve">Adaptive Loss Weights</w:t>
      </w:r>
      <w:r>
        <w:t xml:space="preserve">: Dynamic balancing of</w:t>
      </w:r>
      <w:r>
        <w:t xml:space="preserve"> </w:t>
      </w:r>
      <m:oMath>
        <m:sSub>
          <m:e>
            <m:r>
              <m:t>λ</m:t>
            </m:r>
          </m:e>
          <m:sub>
            <m:r>
              <m:t>d</m:t>
            </m:r>
            <m:r>
              <m:t>a</m:t>
            </m:r>
            <m:r>
              <m:t>t</m:t>
            </m:r>
            <m:r>
              <m:t>a</m:t>
            </m:r>
          </m:sub>
        </m:sSub>
      </m:oMath>
      <w:r>
        <w:t xml:space="preserve"> </w:t>
      </w:r>
      <w:r>
        <w:t xml:space="preserve">and</w:t>
      </w:r>
      <w:r>
        <w:t xml:space="preserve"> </w:t>
      </w:r>
      <m:oMath>
        <m:sSub>
          <m:e>
            <m:r>
              <m:t>λ</m:t>
            </m:r>
          </m:e>
          <m:sub>
            <m:r>
              <m:t>p</m:t>
            </m:r>
            <m:r>
              <m:t>h</m:t>
            </m:r>
            <m:r>
              <m:t>y</m:t>
            </m:r>
            <m:r>
              <m:t>s</m:t>
            </m:r>
          </m:sub>
        </m:sSub>
      </m:oMath>
      <w:r>
        <w:t xml:space="preserve"> </w:t>
      </w:r>
      <w:r>
        <w:t xml:space="preserve">during training.</w:t>
      </w:r>
    </w:p>
    <w:bookmarkStart w:id="32" w:name="training-dynamics"/>
    <w:p>
      <w:pPr>
        <w:pStyle w:val="Heading3"/>
      </w:pPr>
      <w:r>
        <w:t xml:space="preserve">4.3.1 Training Dynamics</w:t>
      </w:r>
    </w:p>
    <w:p>
      <w:pPr>
        <w:pStyle w:val="Compact"/>
        <w:numPr>
          <w:ilvl w:val="0"/>
          <w:numId w:val="1009"/>
        </w:numPr>
      </w:pPr>
      <w:r>
        <w:rPr>
          <w:b/>
          <w:bCs/>
        </w:rPr>
        <w:t xml:space="preserve">Convergence</w:t>
      </w:r>
      <w:r>
        <w:t xml:space="preserve">: Early stopping at</w:t>
      </w:r>
      <w:r>
        <w:t xml:space="preserve"> </w:t>
      </w:r>
      <w:r>
        <w:rPr>
          <w:b/>
          <w:bCs/>
        </w:rPr>
        <w:t xml:space="preserve">Epoch 78</w:t>
      </w:r>
      <w:r>
        <w:t xml:space="preserve"> </w:t>
      </w:r>
      <w:r>
        <w:t xml:space="preserve">(patience=50, best epoch=28)</w:t>
      </w:r>
    </w:p>
    <w:p>
      <w:pPr>
        <w:pStyle w:val="Compact"/>
        <w:numPr>
          <w:ilvl w:val="0"/>
          <w:numId w:val="1009"/>
        </w:numPr>
      </w:pPr>
      <w:r>
        <w:rPr>
          <w:b/>
          <w:bCs/>
        </w:rPr>
        <w:t xml:space="preserve">Best Validation Loss</w:t>
      </w:r>
      <w:r>
        <w:t xml:space="preserve">: 0.399 (weighted MSE)</w:t>
      </w:r>
    </w:p>
    <w:p>
      <w:pPr>
        <w:pStyle w:val="Compact"/>
        <w:numPr>
          <w:ilvl w:val="0"/>
          <w:numId w:val="1009"/>
        </w:numPr>
      </w:pPr>
      <w:r>
        <w:rPr>
          <w:b/>
          <w:bCs/>
        </w:rPr>
        <w:t xml:space="preserve">Training Time</w:t>
      </w:r>
      <w:r>
        <w:t xml:space="preserve">: ~43 minutes (vs ~8 min for v1.0, due to attention overhead)</w:t>
      </w:r>
    </w:p>
    <w:p>
      <w:pPr>
        <w:pStyle w:val="Compact"/>
        <w:numPr>
          <w:ilvl w:val="0"/>
          <w:numId w:val="1009"/>
        </w:numPr>
      </w:pPr>
      <w:r>
        <w:rPr>
          <w:b/>
          <w:bCs/>
        </w:rPr>
        <w:t xml:space="preserve">Physics Loss</w:t>
      </w:r>
      <w:r>
        <w:t xml:space="preserve">: Active throughout training (</w:t>
      </w:r>
      <m:oMath>
        <m:r>
          <m:rPr>
            <m:sty m:val="p"/>
          </m:rPr>
          <m:t>∼</m:t>
        </m:r>
        <m:r>
          <m:t>1.1</m:t>
        </m:r>
        <m:r>
          <m:rPr>
            <m:sty m:val="p"/>
          </m:rPr>
          <m:t>×</m:t>
        </m:r>
        <m:sSup>
          <m:e>
            <m:r>
              <m:t>10</m:t>
            </m:r>
          </m:e>
          <m:sup>
            <m:r>
              <m:rPr>
                <m:sty m:val="p"/>
              </m:rPr>
              <m:t>−</m:t>
            </m:r>
            <m:r>
              <m:t>10</m:t>
            </m:r>
          </m:sup>
        </m:sSup>
      </m:oMath>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Training and validation loss curves</w:t>
            </w:r>
          </w:p>
        </w:tc>
      </w:tr>
    </w:tbl>
    <w:p>
      <w:pPr>
        <w:pStyle w:val="ImageCaption"/>
      </w:pPr>
      <w:r>
        <w:t xml:space="preserve">Training and validation loss curves</w:t>
      </w:r>
    </w:p>
    <w:p>
      <w:pPr>
        <w:pStyle w:val="BodyText"/>
      </w:pPr>
      <w:r>
        <w:t xml:space="preserve">Figure 4. Training and validation loss convergence (PEER real data, v1.6).</w:t>
      </w:r>
    </w:p>
    <w:bookmarkEnd w:id="32"/>
    <w:bookmarkEnd w:id="33"/>
    <w:bookmarkStart w:id="34" w:name="prediction-accuracy"/>
    <w:p>
      <w:pPr>
        <w:pStyle w:val="Heading2"/>
      </w:pPr>
      <w:r>
        <w:t xml:space="preserve">4.4 Prediction Accuracy</w:t>
      </w:r>
    </w:p>
    <w:p>
      <w:pPr>
        <w:pStyle w:val="FirstParagraph"/>
      </w:pPr>
      <w:r>
        <w:rPr>
          <w:b/>
          <w:bCs/>
        </w:rPr>
        <w:t xml:space="preserve">Table 6.</w:t>
      </w:r>
      <w:r>
        <w:t xml:space="preserve"> </w:t>
      </w:r>
      <w:r>
        <w:t xml:space="preserve">Per-story</w:t>
      </w:r>
      <w:r>
        <w:t xml:space="preserve"> </w:t>
      </w:r>
      <m:oMath>
        <m:sSup>
          <m:e>
            <m:r>
              <m:t>R</m:t>
            </m:r>
          </m:e>
          <m:sup>
            <m:r>
              <m:t>2</m:t>
            </m:r>
          </m:sup>
        </m:sSup>
      </m:oMath>
      <w:r>
        <w:t xml:space="preserve"> </w:t>
      </w:r>
      <w:r>
        <w:t xml:space="preserve">and overall RMSE — v1.0 baseline vs. v1.6 (PEER real data,</w:t>
      </w:r>
      <w:r>
        <w:t xml:space="preserve"> </w:t>
      </w:r>
      <m:oMath>
        <m:r>
          <m:t>N</m:t>
        </m:r>
        <m:r>
          <m:rPr>
            <m:sty m:val="p"/>
          </m:rPr>
          <m:t>=</m:t>
        </m:r>
        <m:r>
          <m:t>3</m:t>
        </m:r>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v1.0 (Baseline)</w:t>
            </w:r>
          </w:p>
        </w:tc>
        <w:tc>
          <w:tcPr/>
          <w:p>
            <w:pPr>
              <w:pStyle w:val="Compact"/>
              <w:jc w:val="left"/>
            </w:pPr>
            <w:r>
              <w:rPr>
                <w:b/>
                <w:bCs/>
              </w:rPr>
              <w:t xml:space="preserve">v1.6 (Attention + Weights)</w:t>
            </w:r>
          </w:p>
        </w:tc>
        <w:tc>
          <w:tcPr/>
          <w:p>
            <w:pPr>
              <w:pStyle w:val="Compact"/>
              <w:jc w:val="left"/>
            </w:pPr>
            <w:r>
              <w:t xml:space="preserve">Improvement</w:t>
            </w:r>
          </w:p>
        </w:tc>
      </w:tr>
      <w:tr>
        <w:tc>
          <w:tcPr/>
          <w:p>
            <w:pPr>
              <w:pStyle w:val="Compact"/>
              <w:jc w:val="left"/>
            </w:pPr>
            <w:r>
              <w:rPr>
                <w:b/>
                <w:bCs/>
              </w:rPr>
              <w:t xml:space="preserve">Overall</w:t>
            </w:r>
            <w:r>
              <w:rPr>
                <w:b/>
                <w:bCs/>
              </w:rPr>
              <w:t xml:space="preserve"> </w:t>
            </w:r>
            <m:oMath>
              <m:sSup>
                <m:e>
                  <m:r>
                    <m:t>R</m:t>
                  </m:r>
                </m:e>
                <m:sup>
                  <m:r>
                    <m:t>2</m:t>
                  </m:r>
                </m:sup>
              </m:sSup>
            </m:oMath>
          </w:p>
        </w:tc>
        <w:tc>
          <w:tcPr/>
          <w:p>
            <w:pPr>
              <w:pStyle w:val="Compact"/>
              <w:jc w:val="left"/>
            </w:pPr>
            <w:r>
              <w:t xml:space="preserve">0.772</w:t>
            </w:r>
          </w:p>
        </w:tc>
        <w:tc>
          <w:tcPr/>
          <w:p>
            <w:pPr>
              <w:pStyle w:val="Compact"/>
              <w:jc w:val="left"/>
            </w:pPr>
            <w:r>
              <w:rPr>
                <w:b/>
                <w:bCs/>
              </w:rPr>
              <w:t xml:space="preserve">0.783</w:t>
            </w:r>
          </w:p>
        </w:tc>
        <w:tc>
          <w:tcPr/>
          <w:p>
            <w:pPr>
              <w:pStyle w:val="Compact"/>
              <w:jc w:val="left"/>
            </w:pPr>
            <w:r>
              <w:rPr>
                <w:b/>
                <w:bCs/>
              </w:rPr>
              <w:t xml:space="preserve">+1.1%</w:t>
            </w:r>
          </w:p>
        </w:tc>
      </w:tr>
      <w:tr>
        <w:tc>
          <w:tcPr/>
          <w:p>
            <w:pPr>
              <w:pStyle w:val="Compact"/>
              <w:jc w:val="left"/>
            </w:pPr>
            <w:r>
              <w:rPr>
                <w:b/>
                <w:bCs/>
              </w:rPr>
              <w:t xml:space="preserve">Overall RMSE</w:t>
            </w:r>
          </w:p>
        </w:tc>
        <w:tc>
          <w:tcPr/>
          <w:p>
            <w:pPr>
              <w:pStyle w:val="Compact"/>
              <w:jc w:val="left"/>
            </w:pPr>
            <w:r>
              <w:t xml:space="preserve">0.856%</w:t>
            </w:r>
          </w:p>
        </w:tc>
        <w:tc>
          <w:tcPr/>
          <w:p>
            <w:pPr>
              <w:pStyle w:val="Compact"/>
              <w:jc w:val="left"/>
            </w:pPr>
            <w:r>
              <w:rPr>
                <w:b/>
                <w:bCs/>
              </w:rPr>
              <w:t xml:space="preserve">0.834%</w:t>
            </w:r>
          </w:p>
        </w:tc>
        <w:tc>
          <w:tcPr/>
          <w:p>
            <w:pPr>
              <w:pStyle w:val="Compact"/>
              <w:jc w:val="left"/>
            </w:pPr>
            <w:r>
              <w:rPr>
                <w:b/>
                <w:bCs/>
              </w:rPr>
              <w:t xml:space="preserve">-0.022%</w:t>
            </w:r>
          </w:p>
        </w:tc>
      </w:tr>
      <w:tr>
        <w:tc>
          <w:tcPr/>
          <w:p>
            <w:pPr>
              <w:pStyle w:val="Compact"/>
              <w:jc w:val="left"/>
            </w:pPr>
            <w:r>
              <w:t xml:space="preserve">Story 1</w:t>
            </w:r>
            <w:r>
              <w:t xml:space="preserve"> </w:t>
            </w:r>
            <m:oMath>
              <m:sSup>
                <m:e>
                  <m:r>
                    <m:t>R</m:t>
                  </m:r>
                </m:e>
                <m:sup>
                  <m:r>
                    <m:t>2</m:t>
                  </m:r>
                </m:sup>
              </m:sSup>
            </m:oMath>
          </w:p>
        </w:tc>
        <w:tc>
          <w:tcPr/>
          <w:p>
            <w:pPr>
              <w:pStyle w:val="Compact"/>
              <w:jc w:val="left"/>
            </w:pPr>
            <w:r>
              <w:t xml:space="preserve">0.748</w:t>
            </w:r>
          </w:p>
        </w:tc>
        <w:tc>
          <w:tcPr/>
          <w:p>
            <w:pPr>
              <w:pStyle w:val="Compact"/>
              <w:jc w:val="left"/>
            </w:pPr>
            <w:r>
              <w:rPr>
                <w:b/>
                <w:bCs/>
              </w:rPr>
              <w:t xml:space="preserve">0.763</w:t>
            </w:r>
          </w:p>
        </w:tc>
        <w:tc>
          <w:tcPr/>
          <w:p>
            <w:pPr>
              <w:pStyle w:val="Compact"/>
              <w:jc w:val="left"/>
            </w:pPr>
            <w:r>
              <w:t xml:space="preserve">+1.5%</w:t>
            </w:r>
          </w:p>
        </w:tc>
      </w:tr>
      <w:tr>
        <w:tc>
          <w:tcPr/>
          <w:p>
            <w:pPr>
              <w:pStyle w:val="Compact"/>
              <w:jc w:val="left"/>
            </w:pPr>
            <w:r>
              <w:t xml:space="preserve">Story 2</w:t>
            </w:r>
            <w:r>
              <w:t xml:space="preserve"> </w:t>
            </w:r>
            <m:oMath>
              <m:sSup>
                <m:e>
                  <m:r>
                    <m:t>R</m:t>
                  </m:r>
                </m:e>
                <m:sup>
                  <m:r>
                    <m:t>2</m:t>
                  </m:r>
                </m:sup>
              </m:sSup>
            </m:oMath>
          </w:p>
        </w:tc>
        <w:tc>
          <w:tcPr/>
          <w:p>
            <w:pPr>
              <w:pStyle w:val="Compact"/>
              <w:jc w:val="left"/>
            </w:pPr>
            <w:r>
              <w:t xml:space="preserve">0.748</w:t>
            </w:r>
          </w:p>
        </w:tc>
        <w:tc>
          <w:tcPr/>
          <w:p>
            <w:pPr>
              <w:pStyle w:val="Compact"/>
              <w:jc w:val="left"/>
            </w:pPr>
            <w:r>
              <w:rPr>
                <w:b/>
                <w:bCs/>
              </w:rPr>
              <w:t xml:space="preserve">0.758</w:t>
            </w:r>
          </w:p>
        </w:tc>
        <w:tc>
          <w:tcPr/>
          <w:p>
            <w:pPr>
              <w:pStyle w:val="Compact"/>
              <w:jc w:val="left"/>
            </w:pPr>
            <w:r>
              <w:t xml:space="preserve">+1.0%</w:t>
            </w:r>
          </w:p>
        </w:tc>
      </w:tr>
      <w:tr>
        <w:tc>
          <w:tcPr/>
          <w:p>
            <w:pPr>
              <w:pStyle w:val="Compact"/>
              <w:jc w:val="left"/>
            </w:pPr>
            <w:r>
              <w:t xml:space="preserve">Story 3</w:t>
            </w:r>
            <w:r>
              <w:t xml:space="preserve"> </w:t>
            </w:r>
            <m:oMath>
              <m:sSup>
                <m:e>
                  <m:r>
                    <m:t>R</m:t>
                  </m:r>
                </m:e>
                <m:sup>
                  <m:r>
                    <m:t>2</m:t>
                  </m:r>
                </m:sup>
              </m:sSup>
            </m:oMath>
          </w:p>
        </w:tc>
        <w:tc>
          <w:tcPr/>
          <w:p>
            <w:pPr>
              <w:pStyle w:val="Compact"/>
              <w:jc w:val="left"/>
            </w:pPr>
            <w:r>
              <w:t xml:space="preserve">0.540</w:t>
            </w:r>
          </w:p>
        </w:tc>
        <w:tc>
          <w:tcPr/>
          <w:p>
            <w:pPr>
              <w:pStyle w:val="Compact"/>
              <w:jc w:val="left"/>
            </w:pPr>
            <w:r>
              <w:rPr>
                <w:b/>
                <w:bCs/>
              </w:rPr>
              <w:t xml:space="preserve">0.549</w:t>
            </w:r>
          </w:p>
        </w:tc>
        <w:tc>
          <w:tcPr/>
          <w:p>
            <w:pPr>
              <w:pStyle w:val="Compact"/>
              <w:jc w:val="left"/>
            </w:pPr>
            <w:r>
              <w:t xml:space="preserve">+0.9%</w:t>
            </w:r>
          </w:p>
        </w:tc>
      </w:tr>
    </w:tbl>
    <w:p>
      <w:pPr>
        <w:pStyle w:val="BodyText"/>
      </w:pPr>
      <w:r>
        <w:t xml:space="preserve">The v1.6 model demonstrates consistent improvements across all stories. The most significant gain was in Story 1 (+1.5%), while Story 3 showed a modest improvement (+0.9%) despite the heavy loss weighting (2.15x). This suggests that while architectural enhancements help, the prediction of upper-story responses under real seismic excitation remains limited by input information (base acceleration only).</w:t>
      </w:r>
    </w:p>
    <w:tbl>
      <w:tblPr>
        <w:tblStyle w:val="FigureTable"/>
        <w:tblW w:type="auto" w:w="0"/>
        <w:jc w:val="center"/>
        <w:tblLook w:firstRow="0" w:lastRow="0" w:firstColumn="0" w:lastColumn="0"/>
      </w:tblPr>
      <w:tblGrid>
        <w:gridCol w:w="7920"/>
      </w:tblGrid>
      <w:tr>
        <w:tc>
          <w:tcPr/>
          <w:p>
            <w:pPr>
              <w:pStyle w:val="Compact"/>
              <w:jc w:val="center"/>
            </w:pPr>
            <w:r>
              <w:t xml:space="preserve">Predicted vs. Actual IDR</w:t>
            </w:r>
          </w:p>
        </w:tc>
      </w:tr>
    </w:tbl>
    <w:p>
      <w:pPr>
        <w:pStyle w:val="ImageCaption"/>
      </w:pPr>
      <w:r>
        <w:t xml:space="preserve">Predicted vs. Actual IDR</w:t>
      </w:r>
    </w:p>
    <w:p>
      <w:pPr>
        <w:pStyle w:val="BodyText"/>
      </w:pPr>
      <w:r>
        <w:t xml:space="preserve">Figure 5. Predicted vs. actual peak inter-story drift ratio (PEER data, v1.6).</w:t>
      </w:r>
    </w:p>
    <w:tbl>
      <w:tblPr>
        <w:tblStyle w:val="FigureTable"/>
        <w:tblW w:type="auto" w:w="0"/>
        <w:jc w:val="center"/>
        <w:tblLook w:firstRow="0" w:lastRow="0" w:firstColumn="0" w:lastColumn="0"/>
      </w:tblPr>
      <w:tblGrid>
        <w:gridCol w:w="7920"/>
      </w:tblGrid>
      <w:tr>
        <w:tc>
          <w:tcPr/>
          <w:p>
            <w:pPr>
              <w:pStyle w:val="Compact"/>
              <w:jc w:val="center"/>
            </w:pPr>
            <w:r>
              <w:t xml:space="preserve">Error Distribution</w:t>
            </w:r>
          </w:p>
        </w:tc>
      </w:tr>
    </w:tbl>
    <w:p>
      <w:pPr>
        <w:pStyle w:val="ImageCaption"/>
      </w:pPr>
      <w:r>
        <w:t xml:space="preserve">Error Distribution</w:t>
      </w:r>
    </w:p>
    <w:p>
      <w:pPr>
        <w:pStyle w:val="BodyText"/>
      </w:pPr>
      <w:r>
        <w:t xml:space="preserve">Figure 6. Per-story prediction error distribution (PEER data, v1.6).</w:t>
      </w:r>
    </w:p>
    <w:bookmarkEnd w:id="34"/>
    <w:bookmarkStart w:id="38" w:name="parametric-scaling-to-n10-stories"/>
    <w:p>
      <w:pPr>
        <w:pStyle w:val="Heading2"/>
      </w:pPr>
      <w:r>
        <w:t xml:space="preserve">4.5 Parametric Scaling to N=10 Stories</w:t>
      </w:r>
    </w:p>
    <w:p>
      <w:pPr>
        <w:pStyle w:val="FirstParagraph"/>
      </w:pPr>
      <w:r>
        <w:t xml:space="preserve">To evaluate framework scalability, the full pipeline was extended to a 10-story (</w:t>
      </w:r>
      <m:oMath>
        <m:r>
          <m:t>N</m:t>
        </m:r>
        <m:r>
          <m:rPr>
            <m:sty m:val="p"/>
          </m:rPr>
          <m:t>=</m:t>
        </m:r>
        <m:r>
          <m:t>10</m:t>
        </m:r>
      </m:oMath>
      <w:r>
        <w:t xml:space="preserve">), 3-bay RC frame.</w:t>
      </w:r>
      <w:r>
        <w:t xml:space="preserve"> </w:t>
      </w:r>
      <w:r>
        <w:t xml:space="preserve">This configuration introduces tapering cross-sections (700</w:t>
      </w:r>
      <m:oMath>
        <m:sSup>
          <m:e>
            <m:r>
              <m:t>​</m:t>
            </m:r>
          </m:e>
          <m:sup>
            <m:r>
              <m:t>2</m:t>
            </m:r>
          </m:sup>
        </m:sSup>
      </m:oMath>
      <w:r>
        <w:t xml:space="preserve"> </w:t>
      </w:r>
      <w:r>
        <w:t xml:space="preserve">mm at grade → 500</w:t>
      </w:r>
      <m:oMath>
        <m:sSup>
          <m:e>
            <m:r>
              <m:t>​</m:t>
            </m:r>
          </m:e>
          <m:sup>
            <m:r>
              <m:t>2</m:t>
            </m:r>
          </m:sup>
        </m:sSup>
      </m:oMath>
      <w:r>
        <w:t xml:space="preserve"> </w:t>
      </w:r>
      <w:r>
        <w:t xml:space="preserve">mm at roof),</w:t>
      </w:r>
      <w:r>
        <w:t xml:space="preserve"> </w:t>
      </w:r>
      <w:r>
        <w:t xml:space="preserve">variable inter-story periods, and significant higher-mode participation — conditions under which</w:t>
      </w:r>
      <w:r>
        <w:t xml:space="preserve"> </w:t>
      </w:r>
      <w:r>
        <w:t xml:space="preserve">physics-guided regularization becomes critical.</w:t>
      </w:r>
    </w:p>
    <w:bookmarkStart w:id="35" w:name="simulation-campaign"/>
    <w:p>
      <w:pPr>
        <w:pStyle w:val="Heading3"/>
      </w:pPr>
      <w:r>
        <w:t xml:space="preserve">4.5.1 Simulation Campaign</w:t>
      </w:r>
    </w:p>
    <w:p>
      <w:pPr>
        <w:pStyle w:val="FirstParagraph"/>
      </w:pPr>
      <w:r>
        <w:rPr>
          <w:b/>
          <w:bCs/>
        </w:rPr>
        <w:t xml:space="preserve">Table 7.</w:t>
      </w:r>
      <w:r>
        <w:t xml:space="preserve"> </w:t>
      </w:r>
      <w:r>
        <w:t xml:space="preserve">N=10 simulation campaign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Target records</w:t>
            </w:r>
          </w:p>
        </w:tc>
        <w:tc>
          <w:tcPr/>
          <w:p>
            <w:pPr>
              <w:pStyle w:val="Compact"/>
              <w:jc w:val="left"/>
            </w:pPr>
            <w:r>
              <w:t xml:space="preserve">299 (full PEER NGA-West2 suite)</w:t>
            </w:r>
          </w:p>
        </w:tc>
      </w:tr>
      <w:tr>
        <w:tc>
          <w:tcPr/>
          <w:p>
            <w:pPr>
              <w:pStyle w:val="Compact"/>
              <w:jc w:val="left"/>
            </w:pPr>
            <w:r>
              <w:t xml:space="preserve">Valid records</w:t>
            </w:r>
          </w:p>
        </w:tc>
        <w:tc>
          <w:tcPr/>
          <w:p>
            <w:pPr>
              <w:pStyle w:val="Compact"/>
              <w:jc w:val="left"/>
            </w:pPr>
            <w:r>
              <w:t xml:space="preserve">265 (88.6% convergence rate)</w:t>
            </w:r>
          </w:p>
        </w:tc>
      </w:tr>
      <w:tr>
        <w:tc>
          <w:tcPr/>
          <w:p>
            <w:pPr>
              <w:pStyle w:val="Compact"/>
              <w:jc w:val="left"/>
            </w:pPr>
            <w:r>
              <w:t xml:space="preserve">Spectrum matching</w:t>
            </w:r>
          </w:p>
        </w:tc>
        <w:tc>
          <w:tcPr/>
          <w:p>
            <w:pPr>
              <w:pStyle w:val="Compact"/>
              <w:jc w:val="left"/>
            </w:pPr>
            <w:r>
              <w:t xml:space="preserve">ASCE 7-22,</w:t>
            </w:r>
            <w:r>
              <w:t xml:space="preserve"> </w:t>
            </w:r>
            <m:oMath>
              <m:sSub>
                <m:e>
                  <m:r>
                    <m:t>S</m:t>
                  </m:r>
                </m:e>
                <m:sub>
                  <m:r>
                    <m:t>D</m:t>
                  </m:r>
                  <m:r>
                    <m:t>S</m:t>
                  </m:r>
                </m:sub>
              </m:sSub>
              <m:r>
                <m:rPr>
                  <m:sty m:val="p"/>
                </m:rPr>
                <m:t>=</m:t>
              </m:r>
              <m:r>
                <m:t>1.0</m:t>
              </m:r>
            </m:oMath>
            <w:r>
              <w:t xml:space="preserve"> </w:t>
            </w:r>
            <w:r>
              <w:t xml:space="preserve">g,</w:t>
            </w:r>
            <w:r>
              <w:t xml:space="preserve"> </w:t>
            </w:r>
            <m:oMath>
              <m:sSub>
                <m:e>
                  <m:r>
                    <m:t>S</m:t>
                  </m:r>
                </m:e>
                <m:sub>
                  <m:r>
                    <m:t>D</m:t>
                  </m:r>
                  <m:r>
                    <m:t>1</m:t>
                  </m:r>
                </m:sub>
              </m:sSub>
              <m:r>
                <m:rPr>
                  <m:sty m:val="p"/>
                </m:rPr>
                <m:t>=</m:t>
              </m:r>
              <m:r>
                <m:t>0.6</m:t>
              </m:r>
            </m:oMath>
            <w:r>
              <w:t xml:space="preserve"> </w:t>
            </w:r>
            <w:r>
              <w:t xml:space="preserve">g</w:t>
            </w:r>
          </w:p>
        </w:tc>
      </w:tr>
      <w:tr>
        <w:tc>
          <w:tcPr/>
          <w:p>
            <w:pPr>
              <w:pStyle w:val="Compact"/>
              <w:jc w:val="left"/>
            </w:pPr>
            <w:r>
              <w:t xml:space="preserve">Parallel workers</w:t>
            </w:r>
          </w:p>
        </w:tc>
        <w:tc>
          <w:tcPr/>
          <w:p>
            <w:pPr>
              <w:pStyle w:val="Compact"/>
              <w:jc w:val="left"/>
            </w:pPr>
            <w:r>
              <w:t xml:space="preserve">4</w:t>
            </w:r>
          </w:p>
        </w:tc>
      </w:tr>
      <w:tr>
        <w:tc>
          <w:tcPr/>
          <w:p>
            <w:pPr>
              <w:pStyle w:val="Compact"/>
              <w:jc w:val="left"/>
            </w:pPr>
            <w:r>
              <w:t xml:space="preserve">NLTHA time step</w:t>
            </w:r>
          </w:p>
        </w:tc>
        <w:tc>
          <w:tcPr/>
          <w:p>
            <w:pPr>
              <w:pStyle w:val="Compact"/>
              <w:jc w:val="left"/>
            </w:pPr>
            <m:oMath>
              <m:r>
                <m:rPr>
                  <m:sty m:val="p"/>
                </m:rPr>
                <m:t>Δ</m:t>
              </m:r>
              <m:r>
                <m:t>t</m:t>
              </m:r>
              <m:r>
                <m:rPr>
                  <m:sty m:val="p"/>
                </m:rPr>
                <m:t>=</m:t>
              </m:r>
              <m:r>
                <m:t>0.01</m:t>
              </m:r>
            </m:oMath>
            <w:r>
              <w:t xml:space="preserve"> </w:t>
            </w:r>
            <w:r>
              <w:t xml:space="preserve">s (adaptive cascade to</w:t>
            </w:r>
            <w:r>
              <w:t xml:space="preserve"> </w:t>
            </w:r>
            <m:oMath>
              <m:sSup>
                <m:e>
                  <m:r>
                    <m:t>10</m:t>
                  </m:r>
                </m:e>
                <m:sup>
                  <m:r>
                    <m:rPr>
                      <m:sty m:val="p"/>
                    </m:rPr>
                    <m:t>−</m:t>
                  </m:r>
                  <m:r>
                    <m:t>6</m:t>
                  </m:r>
                </m:sup>
              </m:sSup>
            </m:oMath>
            <w:r>
              <w:t xml:space="preserve"> </w:t>
            </w:r>
            <w:r>
              <w:t xml:space="preserve">s)</w:t>
            </w:r>
          </w:p>
        </w:tc>
      </w:tr>
      <w:tr>
        <w:tc>
          <w:tcPr/>
          <w:p>
            <w:pPr>
              <w:pStyle w:val="Compact"/>
              <w:jc w:val="left"/>
            </w:pPr>
            <w:r>
              <w:t xml:space="preserve">Modal periods (</w:t>
            </w:r>
            <m:oMath>
              <m:sSub>
                <m:e>
                  <m:r>
                    <m:t>T</m:t>
                  </m:r>
                </m:e>
                <m:sub>
                  <m:r>
                    <m:t>1</m:t>
                  </m:r>
                </m:sub>
              </m:sSub>
            </m:oMath>
            <w:r>
              <w:t xml:space="preserve">–</w:t>
            </w:r>
            <m:oMath>
              <m:sSub>
                <m:e>
                  <m:r>
                    <m:t>T</m:t>
                  </m:r>
                </m:e>
                <m:sub>
                  <m:r>
                    <m:t>3</m:t>
                  </m:r>
                </m:sub>
              </m:sSub>
            </m:oMath>
            <w:r>
              <w:t xml:space="preserve">)</w:t>
            </w:r>
          </w:p>
        </w:tc>
        <w:tc>
          <w:tcPr/>
          <w:p>
            <w:pPr>
              <w:pStyle w:val="Compact"/>
              <w:jc w:val="left"/>
            </w:pPr>
            <w:r>
              <w:t xml:space="preserve">~1.8 s, 0.6 s, 0.35 s</w:t>
            </w:r>
          </w:p>
        </w:tc>
      </w:tr>
      <w:tr>
        <w:tc>
          <w:tcPr/>
          <w:p>
            <w:pPr>
              <w:pStyle w:val="Compact"/>
              <w:jc w:val="left"/>
            </w:pPr>
            <w:r>
              <w:t xml:space="preserve">Total samples</w:t>
            </w:r>
          </w:p>
        </w:tc>
        <w:tc>
          <w:tcPr/>
          <w:p>
            <w:pPr>
              <w:pStyle w:val="Compact"/>
              <w:jc w:val="left"/>
            </w:pPr>
            <w:r>
              <w:t xml:space="preserve">4,626 (train: 3,238 / val: 693 / test: 695)</w:t>
            </w:r>
          </w:p>
        </w:tc>
      </w:tr>
    </w:tbl>
    <w:p>
      <w:pPr>
        <w:pStyle w:val="BodyText"/>
      </w:pPr>
      <w:r>
        <w:rPr>
          <w:b/>
          <w:bCs/>
        </w:rPr>
        <w:t xml:space="preserve">Convergence</w:t>
      </w:r>
      <w:r>
        <w:t xml:space="preserve">: The adaptive five-strategy cascade (Newton → ModifiedNewton → Bisected</w:t>
      </w:r>
      <w:r>
        <w:t xml:space="preserve"> </w:t>
      </w:r>
      <m:oMath>
        <m:r>
          <m:rPr>
            <m:sty m:val="p"/>
          </m:rPr>
          <m:t>Δ</m:t>
        </m:r>
        <m:r>
          <m:t>t</m:t>
        </m:r>
      </m:oMath>
      <w:r>
        <w:t xml:space="preserve"> </w:t>
      </w:r>
      <w:r>
        <w:t xml:space="preserve">→ NewtonLineSearch → KrylovNewton) was essential for records with severe nonlinearity near collapse (IDR &gt; 5%). Of the 34 rejected records, 31 failed to converge and 3 exceeded the collapse threshold (IDR &gt; 10%).</w:t>
      </w:r>
    </w:p>
    <w:bookmarkEnd w:id="35"/>
    <w:bookmarkStart w:id="36" w:name="higher-mode-response-the-whiplash-effect"/>
    <w:p>
      <w:pPr>
        <w:pStyle w:val="Heading3"/>
      </w:pPr>
      <w:r>
        <w:t xml:space="preserve">4.5.2 Higher-Mode Response — The Whiplash Effect</w:t>
      </w:r>
    </w:p>
    <w:p>
      <w:pPr>
        <w:pStyle w:val="FirstParagraph"/>
      </w:pPr>
      <w:r>
        <w:t xml:space="preserve">A defining phenomenon of tall RC frames under near-field or long-duration seismic excitation is the</w:t>
      </w:r>
      <w:r>
        <w:t xml:space="preserve"> </w:t>
      </w:r>
      <w:r>
        <w:rPr>
          <w:b/>
          <w:bCs/>
        </w:rPr>
        <w:t xml:space="preserve">whiplash effect</w:t>
      </w:r>
      <w:r>
        <w:t xml:space="preserve"> </w:t>
      </w:r>
      <w:r>
        <w:t xml:space="preserve">(</w:t>
      </w:r>
      <w:r>
        <w:rPr>
          <w:i/>
          <w:iCs/>
        </w:rPr>
        <w:t xml:space="preserve">efecto látigo</w:t>
      </w:r>
      <w:r>
        <w:t xml:space="preserve">): progressive amplification of story accelerations and inter-story</w:t>
      </w:r>
      <w:r>
        <w:t xml:space="preserve"> </w:t>
      </w:r>
      <w:r>
        <w:t xml:space="preserve">drifts toward the roof, driven by the participation of higher vibration modes</w:t>
      </w:r>
      <w:r>
        <w:t xml:space="preserve"> </w:t>
      </w:r>
      <w:r>
        <w:t xml:space="preserve">(</w:t>
      </w:r>
      <m:oMath>
        <m:sSub>
          <m:e>
            <m:r>
              <m:rPr>
                <m:sty m:val="p"/>
              </m:rPr>
              <m:t>Γ</m:t>
            </m:r>
          </m:e>
          <m:sub>
            <m:r>
              <m:t>3</m:t>
            </m:r>
          </m:sub>
        </m:sSub>
      </m:oMath>
      <w:r>
        <w:t xml:space="preserve">,</w:t>
      </w:r>
      <w:r>
        <w:t xml:space="preserve"> </w:t>
      </w:r>
      <m:oMath>
        <m:sSub>
          <m:e>
            <m:r>
              <m:rPr>
                <m:sty m:val="p"/>
              </m:rPr>
              <m:t>Γ</m:t>
            </m:r>
          </m:e>
          <m:sub>
            <m:r>
              <m:t>4</m:t>
            </m:r>
          </m:sub>
        </m:sSub>
      </m:oMath>
      <w:r>
        <w:t xml:space="preserve">,</w:t>
      </w:r>
      <w:r>
        <w:t xml:space="preserve"> </w:t>
      </w:r>
      <m:oMath>
        <m:sSub>
          <m:e>
            <m:r>
              <m:rPr>
                <m:sty m:val="p"/>
              </m:rPr>
              <m:t>Γ</m:t>
            </m:r>
          </m:e>
          <m:sub>
            <m:r>
              <m:t>5</m:t>
            </m:r>
          </m:sub>
        </m:sSub>
      </m:oMath>
      <w:r>
        <w:t xml:space="preserve">).</w:t>
      </w:r>
    </w:p>
    <w:p>
      <w:pPr>
        <w:pStyle w:val="BodyText"/>
      </w:pPr>
      <w:r>
        <w:t xml:space="preserve">In a 10-story frame, the first-mode mass participation ratio (</w:t>
      </w:r>
      <m:oMath>
        <m:sSubSup>
          <m:e>
            <m:r>
              <m:t>M</m:t>
            </m:r>
          </m:e>
          <m:sub>
            <m:r>
              <m:t>1</m:t>
            </m:r>
          </m:sub>
          <m:sup>
            <m:r>
              <m:rPr>
                <m:sty m:val="p"/>
              </m:rPr>
              <m:t>*</m:t>
            </m:r>
          </m:sup>
        </m:sSubSup>
        <m:r>
          <m:rPr>
            <m:sty m:val="p"/>
          </m:rPr>
          <m:t>/</m:t>
        </m:r>
        <m:sSub>
          <m:e>
            <m:r>
              <m:t>M</m:t>
            </m:r>
          </m:e>
          <m:sub>
            <m:r>
              <m:t>t</m:t>
            </m:r>
            <m:r>
              <m:t>o</m:t>
            </m:r>
            <m:r>
              <m:t>t</m:t>
            </m:r>
            <m:r>
              <m:t>a</m:t>
            </m:r>
            <m:r>
              <m:t>l</m:t>
            </m:r>
          </m:sub>
        </m:sSub>
      </m:oMath>
      <w:r>
        <w:t xml:space="preserve">) drops from</w:t>
      </w:r>
      <w:r>
        <w:t xml:space="preserve"> </w:t>
      </w:r>
      <w:r>
        <w:t xml:space="preserve">the ~85% observed in a 3-story frame to approximately 60–65%, meaning the remaining 35–40% of</w:t>
      </w:r>
      <w:r>
        <w:t xml:space="preserve"> </w:t>
      </w:r>
      <w:r>
        <w:t xml:space="preserve">seismic energy excites modes that manifest as high-frequency, spatially complex deformation patterns</w:t>
      </w:r>
      <w:r>
        <w:t xml:space="preserve"> </w:t>
      </w:r>
      <w:r>
        <w:t xml:space="preserve">in the upper third of the building (Floors 8–10).</w:t>
      </w:r>
    </w:p>
    <w:p>
      <w:pPr>
        <w:pStyle w:val="BodyText"/>
      </w:pPr>
      <w:r>
        <w:t xml:space="preserve">Mathematically, the displacement response at story</w:t>
      </w:r>
      <w:r>
        <w:t xml:space="preserve"> </w:t>
      </w:r>
      <m:oMath>
        <m:r>
          <m:t>j</m:t>
        </m:r>
      </m:oMath>
      <w:r>
        <w:t xml:space="preserve"> </w:t>
      </w:r>
      <w:r>
        <w:t xml:space="preserve">follows modal superposition [20]:</w:t>
      </w:r>
    </w:p>
    <w:p>
      <w:pPr>
        <w:pStyle w:val="BodyText"/>
      </w:pPr>
      <m:oMathPara>
        <m:oMathParaPr>
          <m:jc m:val="center"/>
        </m:oMathParaPr>
        <m:oMath>
          <m:sSub>
            <m:e>
              <m:r>
                <m:t>u</m:t>
              </m:r>
            </m:e>
            <m:sub>
              <m:r>
                <m:t>j</m:t>
              </m:r>
            </m:sub>
          </m:sSub>
          <m:r>
            <m:rPr>
              <m:sty m:val="p"/>
            </m:rPr>
            <m:t>(</m:t>
          </m:r>
          <m:r>
            <m:t>t</m:t>
          </m:r>
          <m:r>
            <m:rPr>
              <m:sty m:val="p"/>
            </m:rPr>
            <m:t>)</m:t>
          </m:r>
          <m:r>
            <m:rPr>
              <m:sty m:val="p"/>
            </m:rPr>
            <m:t>=</m:t>
          </m:r>
          <m:nary>
            <m:naryPr>
              <m:chr m:val="∑"/>
              <m:limLoc m:val="undOvr"/>
              <m:subHide m:val="off"/>
              <m:supHide m:val="off"/>
            </m:naryPr>
            <m:sub>
              <m:r>
                <m:t>n</m:t>
              </m:r>
              <m:r>
                <m:rPr>
                  <m:sty m:val="p"/>
                </m:rPr>
                <m:t>=</m:t>
              </m:r>
              <m:r>
                <m:t>1</m:t>
              </m:r>
            </m:sub>
            <m:sup>
              <m:r>
                <m:t>N</m:t>
              </m:r>
            </m:sup>
            <m:e>
              <m:sSub>
                <m:e>
                  <m:r>
                    <m:t>ϕ</m:t>
                  </m:r>
                </m:e>
                <m:sub>
                  <m:r>
                    <m:t>j</m:t>
                  </m:r>
                  <m:r>
                    <m:t>n</m:t>
                  </m:r>
                </m:sub>
              </m:sSub>
            </m:e>
          </m:nary>
          <m:r>
            <m:rPr>
              <m:sty m:val="p"/>
            </m:rPr>
            <m:t>⋅</m:t>
          </m:r>
          <m:sSub>
            <m:e>
              <m:r>
                <m:t>q</m:t>
              </m:r>
            </m:e>
            <m:sub>
              <m:r>
                <m:t>n</m:t>
              </m:r>
            </m:sub>
          </m:sSub>
          <m:r>
            <m:rPr>
              <m:sty m:val="p"/>
            </m:rPr>
            <m:t>(</m:t>
          </m:r>
          <m:r>
            <m:t>t</m:t>
          </m:r>
          <m:r>
            <m:rPr>
              <m:sty m:val="p"/>
            </m:rPr>
            <m:t>)</m:t>
          </m:r>
        </m:oMath>
      </m:oMathPara>
    </w:p>
    <w:p>
      <w:pPr>
        <w:pStyle w:val="FirstParagraph"/>
      </w:pPr>
      <w:r>
        <w:t xml:space="preserve">where</w:t>
      </w:r>
      <w:r>
        <w:t xml:space="preserve"> </w:t>
      </w:r>
      <m:oMath>
        <m:sSub>
          <m:e>
            <m:r>
              <m:t>ϕ</m:t>
            </m:r>
          </m:e>
          <m:sub>
            <m:r>
              <m:t>j</m:t>
            </m:r>
            <m:r>
              <m:t>n</m:t>
            </m:r>
          </m:sub>
        </m:sSub>
      </m:oMath>
      <w:r>
        <w:t xml:space="preserve"> </w:t>
      </w:r>
      <w:r>
        <w:t xml:space="preserve">is the</w:t>
      </w:r>
      <w:r>
        <w:t xml:space="preserve"> </w:t>
      </w:r>
      <m:oMath>
        <m:r>
          <m:t>n</m:t>
        </m:r>
      </m:oMath>
      <w:r>
        <w:t xml:space="preserve">-th mode shape at story</w:t>
      </w:r>
      <w:r>
        <w:t xml:space="preserve"> </w:t>
      </w:r>
      <m:oMath>
        <m:r>
          <m:t>j</m:t>
        </m:r>
      </m:oMath>
      <w:r>
        <w:t xml:space="preserve"> </w:t>
      </w:r>
      <w:r>
        <w:t xml:space="preserve">and</w:t>
      </w:r>
      <w:r>
        <w:t xml:space="preserve"> </w:t>
      </w:r>
      <m:oMath>
        <m:sSub>
          <m:e>
            <m:r>
              <m:t>q</m:t>
            </m:r>
          </m:e>
          <m:sub>
            <m:r>
              <m:t>n</m:t>
            </m:r>
          </m:sub>
        </m:sSub>
        <m:r>
          <m:rPr>
            <m:sty m:val="p"/>
          </m:rPr>
          <m:t>(</m:t>
        </m:r>
        <m:r>
          <m:t>t</m:t>
        </m:r>
        <m:r>
          <m:rPr>
            <m:sty m:val="p"/>
          </m:rPr>
          <m:t>)</m:t>
        </m:r>
      </m:oMath>
      <w:r>
        <w:t xml:space="preserve"> </w:t>
      </w:r>
      <w:r>
        <w:t xml:space="preserve">is the modal coordinate.</w:t>
      </w:r>
      <w:r>
        <w:t xml:space="preserve"> </w:t>
      </w:r>
      <w:r>
        <w:t xml:space="preserve">For</w:t>
      </w:r>
      <w:r>
        <w:t xml:space="preserve"> </w:t>
      </w:r>
      <m:oMath>
        <m:r>
          <m:t>j</m:t>
        </m:r>
        <m:r>
          <m:rPr>
            <m:sty m:val="p"/>
          </m:rPr>
          <m:t>≥</m:t>
        </m:r>
        <m:r>
          <m:t>8</m:t>
        </m:r>
      </m:oMath>
      <w:r>
        <w:t xml:space="preserve"> </w:t>
      </w:r>
      <w:r>
        <w:t xml:space="preserve">in a 10-story frame,</w:t>
      </w:r>
      <w:r>
        <w:t xml:space="preserve"> </w:t>
      </w:r>
      <m:oMath>
        <m:sSub>
          <m:e>
            <m:r>
              <m:t>ϕ</m:t>
            </m:r>
          </m:e>
          <m:sub>
            <m:r>
              <m:t>j</m:t>
            </m:r>
            <m:r>
              <m:rPr>
                <m:sty m:val="p"/>
              </m:rPr>
              <m:t>,</m:t>
            </m:r>
            <m:r>
              <m:t>2</m:t>
            </m:r>
          </m:sub>
        </m:sSub>
      </m:oMath>
      <w:r>
        <w:t xml:space="preserve"> </w:t>
      </w:r>
      <w:r>
        <w:t xml:space="preserve">and</w:t>
      </w:r>
      <w:r>
        <w:t xml:space="preserve"> </w:t>
      </w:r>
      <m:oMath>
        <m:sSub>
          <m:e>
            <m:r>
              <m:t>ϕ</m:t>
            </m:r>
          </m:e>
          <m:sub>
            <m:r>
              <m:t>j</m:t>
            </m:r>
            <m:r>
              <m:rPr>
                <m:sty m:val="p"/>
              </m:rPr>
              <m:t>,</m:t>
            </m:r>
            <m:r>
              <m:t>3</m:t>
            </m:r>
          </m:sub>
        </m:sSub>
      </m:oMath>
      <w:r>
        <w:t xml:space="preserve"> </w:t>
      </w:r>
      <w:r>
        <w:t xml:space="preserve">become significant, introducing</w:t>
      </w:r>
      <w:r>
        <w:t xml:space="preserve"> </w:t>
      </w:r>
      <w:r>
        <w:t xml:space="preserve">higher-frequency content (0.6–1.8 Hz) superposed on the first-mode response.</w:t>
      </w:r>
    </w:p>
    <w:p>
      <w:pPr>
        <w:pStyle w:val="BodyText"/>
      </w:pPr>
      <w:r>
        <w:t xml:space="preserve">This has a direct implication for the PgNN: the network must reconstruct a multi-frequency response</w:t>
      </w:r>
      <w:r>
        <w:t xml:space="preserve"> </w:t>
      </w:r>
      <w:r>
        <w:t xml:space="preserve">from a single base-acceleration input. The FEM-guided loss acts as a</w:t>
      </w:r>
      <w:r>
        <w:t xml:space="preserve"> </w:t>
      </w:r>
      <w:r>
        <w:rPr>
          <w:b/>
          <w:bCs/>
        </w:rPr>
        <w:t xml:space="preserve">physics-guided regularizer</w:t>
      </w:r>
      <w:r>
        <w:t xml:space="preserve">, constraining predicted upper-story</w:t>
      </w:r>
      <w:r>
        <w:t xml:space="preserve"> </w:t>
      </w:r>
      <w:r>
        <w:t xml:space="preserve">responses through the stored</w:t>
      </w:r>
      <w:r>
        <w:t xml:space="preserve"> </w:t>
      </w:r>
      <m:oMath>
        <m:sSub>
          <m:e>
            <m:r>
              <m:rPr>
                <m:sty m:val="bi"/>
              </m:rPr>
              <m:t>f</m:t>
            </m:r>
          </m:e>
          <m:sub>
            <m:r>
              <m:t>i</m:t>
            </m:r>
            <m:r>
              <m:t>n</m:t>
            </m:r>
            <m:r>
              <m:t>t</m:t>
            </m:r>
          </m:sub>
        </m:sSub>
      </m:oMath>
      <w:r>
        <w:t xml:space="preserve"> </w:t>
      </w:r>
      <w:r>
        <w:t xml:space="preserve">tensors from OpenSeesPy fiber sections.</w:t>
      </w:r>
    </w:p>
    <w:bookmarkEnd w:id="36"/>
    <w:bookmarkStart w:id="37" w:name="per-story-prediction-accuracy-n10"/>
    <w:p>
      <w:pPr>
        <w:pStyle w:val="Heading3"/>
      </w:pPr>
      <w:r>
        <w:t xml:space="preserve">4.5.3 Per-Story Prediction Accuracy (N=10)</w:t>
      </w:r>
    </w:p>
    <w:p>
      <w:pPr>
        <w:pStyle w:val="FirstParagraph"/>
      </w:pPr>
      <w:r>
        <w:rPr>
          <w:b/>
          <w:bCs/>
        </w:rPr>
        <w:t xml:space="preserve">Table 8.</w:t>
      </w:r>
      <w:r>
        <w:t xml:space="preserve"> </w:t>
      </w:r>
      <w:r>
        <w:t xml:space="preserve">Per-story</w:t>
      </w:r>
      <w:r>
        <w:t xml:space="preserve"> </w:t>
      </w:r>
      <m:oMath>
        <m:sSup>
          <m:e>
            <m:r>
              <m:t>R</m:t>
            </m:r>
          </m:e>
          <m:sup>
            <m:r>
              <m:t>2</m:t>
            </m:r>
          </m:sup>
        </m:sSup>
      </m:oMath>
      <w:r>
        <w:t xml:space="preserve"> </w:t>
      </w:r>
      <w:r>
        <w:t xml:space="preserve">and RMSE for the 10-story PgNN (265 PEER records, 4,626 samples).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Story</w:t>
            </w:r>
          </w:p>
        </w:tc>
        <w:tc>
          <w:tcPr/>
          <w:p>
            <w:pPr>
              <w:pStyle w:val="Compact"/>
              <w:jc w:val="left"/>
            </w:pPr>
            <m:oMath>
              <m:sSup>
                <m:e>
                  <m:r>
                    <m:t>R</m:t>
                  </m:r>
                </m:e>
                <m:sup>
                  <m:r>
                    <m:t>2</m:t>
                  </m:r>
                </m:sup>
              </m:sSup>
            </m:oMath>
          </w:p>
        </w:tc>
        <w:tc>
          <w:tcPr/>
          <w:p>
            <w:pPr>
              <w:pStyle w:val="Compact"/>
              <w:jc w:val="left"/>
            </w:pPr>
            <w:r>
              <w:t xml:space="preserve">RMSE (%)</w:t>
            </w:r>
          </w:p>
        </w:tc>
        <w:tc>
          <w:tcPr/>
          <w:p>
            <w:pPr>
              <w:pStyle w:val="Compact"/>
              <w:jc w:val="left"/>
            </w:pPr>
            <w:r>
              <w:t xml:space="preserve">Zone</w:t>
            </w:r>
          </w:p>
        </w:tc>
      </w:tr>
      <w:tr>
        <w:tc>
          <w:tcPr/>
          <w:p>
            <w:pPr>
              <w:pStyle w:val="Compact"/>
              <w:jc w:val="left"/>
            </w:pPr>
            <w:r>
              <w:t xml:space="preserve">1</w:t>
            </w:r>
          </w:p>
        </w:tc>
        <w:tc>
          <w:tcPr/>
          <w:p>
            <w:pPr>
              <w:pStyle w:val="Compact"/>
              <w:jc w:val="left"/>
            </w:pPr>
            <w:r>
              <w:rPr>
                <w:b/>
                <w:bCs/>
              </w:rPr>
              <w:t xml:space="preserve">0.754</w:t>
            </w:r>
          </w:p>
        </w:tc>
        <w:tc>
          <w:tcPr/>
          <w:p>
            <w:pPr>
              <w:pStyle w:val="Compact"/>
              <w:jc w:val="left"/>
            </w:pPr>
            <w:r>
              <w:t xml:space="preserve">0.517</w:t>
            </w:r>
          </w:p>
        </w:tc>
        <w:tc>
          <w:tcPr/>
          <w:p>
            <w:pPr>
              <w:pStyle w:val="Compact"/>
              <w:jc w:val="left"/>
            </w:pPr>
            <w:r>
              <w:t xml:space="preserve">Base</w:t>
            </w:r>
          </w:p>
        </w:tc>
      </w:tr>
      <w:tr>
        <w:tc>
          <w:tcPr/>
          <w:p>
            <w:pPr>
              <w:pStyle w:val="Compact"/>
              <w:jc w:val="left"/>
            </w:pPr>
            <w:r>
              <w:t xml:space="preserve">2</w:t>
            </w:r>
          </w:p>
        </w:tc>
        <w:tc>
          <w:tcPr/>
          <w:p>
            <w:pPr>
              <w:pStyle w:val="Compact"/>
              <w:jc w:val="left"/>
            </w:pPr>
            <w:r>
              <w:t xml:space="preserve">0.724</w:t>
            </w:r>
          </w:p>
        </w:tc>
        <w:tc>
          <w:tcPr/>
          <w:p>
            <w:pPr>
              <w:pStyle w:val="Compact"/>
              <w:jc w:val="left"/>
            </w:pPr>
            <w:r>
              <w:t xml:space="preserve">0.574</w:t>
            </w:r>
          </w:p>
        </w:tc>
        <w:tc>
          <w:tcPr/>
          <w:p>
            <w:pPr>
              <w:pStyle w:val="Compact"/>
              <w:jc w:val="left"/>
            </w:pPr>
            <w:r>
              <w:t xml:space="preserve">Base</w:t>
            </w:r>
          </w:p>
        </w:tc>
      </w:tr>
      <w:tr>
        <w:tc>
          <w:tcPr/>
          <w:p>
            <w:pPr>
              <w:pStyle w:val="Compact"/>
              <w:jc w:val="left"/>
            </w:pPr>
            <w:r>
              <w:t xml:space="preserve">3</w:t>
            </w:r>
          </w:p>
        </w:tc>
        <w:tc>
          <w:tcPr/>
          <w:p>
            <w:pPr>
              <w:pStyle w:val="Compact"/>
              <w:jc w:val="left"/>
            </w:pPr>
            <w:r>
              <w:t xml:space="preserve">0.709</w:t>
            </w:r>
          </w:p>
        </w:tc>
        <w:tc>
          <w:tcPr/>
          <w:p>
            <w:pPr>
              <w:pStyle w:val="Compact"/>
              <w:jc w:val="left"/>
            </w:pPr>
            <w:r>
              <w:t xml:space="preserve">0.606</w:t>
            </w:r>
          </w:p>
        </w:tc>
        <w:tc>
          <w:tcPr/>
          <w:p>
            <w:pPr>
              <w:pStyle w:val="Compact"/>
              <w:jc w:val="left"/>
            </w:pPr>
            <w:r>
              <w:t xml:space="preserve">Mid</w:t>
            </w:r>
          </w:p>
        </w:tc>
      </w:tr>
      <w:tr>
        <w:tc>
          <w:tcPr/>
          <w:p>
            <w:pPr>
              <w:pStyle w:val="Compact"/>
              <w:jc w:val="left"/>
            </w:pPr>
            <w:r>
              <w:t xml:space="preserve">4</w:t>
            </w:r>
          </w:p>
        </w:tc>
        <w:tc>
          <w:tcPr/>
          <w:p>
            <w:pPr>
              <w:pStyle w:val="Compact"/>
              <w:jc w:val="left"/>
            </w:pPr>
            <w:r>
              <w:t xml:space="preserve">0.703</w:t>
            </w:r>
          </w:p>
        </w:tc>
        <w:tc>
          <w:tcPr/>
          <w:p>
            <w:pPr>
              <w:pStyle w:val="Compact"/>
              <w:jc w:val="left"/>
            </w:pPr>
            <w:r>
              <w:t xml:space="preserve">0.615</w:t>
            </w:r>
          </w:p>
        </w:tc>
        <w:tc>
          <w:tcPr/>
          <w:p>
            <w:pPr>
              <w:pStyle w:val="Compact"/>
              <w:jc w:val="left"/>
            </w:pPr>
            <w:r>
              <w:t xml:space="preserve">Mid</w:t>
            </w:r>
          </w:p>
        </w:tc>
      </w:tr>
      <w:tr>
        <w:tc>
          <w:tcPr/>
          <w:p>
            <w:pPr>
              <w:pStyle w:val="Compact"/>
              <w:jc w:val="left"/>
            </w:pPr>
            <w:r>
              <w:t xml:space="preserve">5</w:t>
            </w:r>
          </w:p>
        </w:tc>
        <w:tc>
          <w:tcPr/>
          <w:p>
            <w:pPr>
              <w:pStyle w:val="Compact"/>
              <w:jc w:val="left"/>
            </w:pPr>
            <w:r>
              <w:t xml:space="preserve">0.671</w:t>
            </w:r>
          </w:p>
        </w:tc>
        <w:tc>
          <w:tcPr/>
          <w:p>
            <w:pPr>
              <w:pStyle w:val="Compact"/>
              <w:jc w:val="left"/>
            </w:pPr>
            <w:r>
              <w:t xml:space="preserve">0.624</w:t>
            </w:r>
          </w:p>
        </w:tc>
        <w:tc>
          <w:tcPr/>
          <w:p>
            <w:pPr>
              <w:pStyle w:val="Compact"/>
              <w:jc w:val="left"/>
            </w:pPr>
            <w:r>
              <w:t xml:space="preserve">Mid</w:t>
            </w:r>
          </w:p>
        </w:tc>
      </w:tr>
      <w:tr>
        <w:tc>
          <w:tcPr/>
          <w:p>
            <w:pPr>
              <w:pStyle w:val="Compact"/>
              <w:jc w:val="left"/>
            </w:pPr>
            <w:r>
              <w:t xml:space="preserve">6</w:t>
            </w:r>
          </w:p>
        </w:tc>
        <w:tc>
          <w:tcPr/>
          <w:p>
            <w:pPr>
              <w:pStyle w:val="Compact"/>
              <w:jc w:val="left"/>
            </w:pPr>
            <w:r>
              <w:t xml:space="preserve">0.644</w:t>
            </w:r>
          </w:p>
        </w:tc>
        <w:tc>
          <w:tcPr/>
          <w:p>
            <w:pPr>
              <w:pStyle w:val="Compact"/>
              <w:jc w:val="left"/>
            </w:pPr>
            <w:r>
              <w:t xml:space="preserve">0.565</w:t>
            </w:r>
          </w:p>
        </w:tc>
        <w:tc>
          <w:tcPr/>
          <w:p>
            <w:pPr>
              <w:pStyle w:val="Compact"/>
              <w:jc w:val="left"/>
            </w:pPr>
            <w:r>
              <w:t xml:space="preserve">Transition</w:t>
            </w:r>
          </w:p>
        </w:tc>
      </w:tr>
      <w:tr>
        <w:tc>
          <w:tcPr/>
          <w:p>
            <w:pPr>
              <w:pStyle w:val="Compact"/>
              <w:jc w:val="left"/>
            </w:pPr>
            <w:r>
              <w:t xml:space="preserve">7</w:t>
            </w:r>
          </w:p>
        </w:tc>
        <w:tc>
          <w:tcPr/>
          <w:p>
            <w:pPr>
              <w:pStyle w:val="Compact"/>
              <w:jc w:val="left"/>
            </w:pPr>
            <w:r>
              <w:t xml:space="preserve">0.636</w:t>
            </w:r>
          </w:p>
        </w:tc>
        <w:tc>
          <w:tcPr/>
          <w:p>
            <w:pPr>
              <w:pStyle w:val="Compact"/>
              <w:jc w:val="left"/>
            </w:pPr>
            <w:r>
              <w:t xml:space="preserve">0.537</w:t>
            </w:r>
          </w:p>
        </w:tc>
        <w:tc>
          <w:tcPr/>
          <w:p>
            <w:pPr>
              <w:pStyle w:val="Compact"/>
              <w:jc w:val="left"/>
            </w:pPr>
            <w:r>
              <w:t xml:space="preserve">Transition</w:t>
            </w:r>
          </w:p>
        </w:tc>
      </w:tr>
      <w:tr>
        <w:tc>
          <w:tcPr/>
          <w:p>
            <w:pPr>
              <w:pStyle w:val="Compact"/>
              <w:jc w:val="left"/>
            </w:pPr>
            <w:r>
              <w:t xml:space="preserve">8</w:t>
            </w:r>
          </w:p>
        </w:tc>
        <w:tc>
          <w:tcPr/>
          <w:p>
            <w:pPr>
              <w:pStyle w:val="Compact"/>
              <w:jc w:val="left"/>
            </w:pPr>
            <w:r>
              <w:t xml:space="preserve">0.642</w:t>
            </w:r>
          </w:p>
        </w:tc>
        <w:tc>
          <w:tcPr/>
          <w:p>
            <w:pPr>
              <w:pStyle w:val="Compact"/>
              <w:jc w:val="left"/>
            </w:pPr>
            <w:r>
              <w:t xml:space="preserve">0.493</w:t>
            </w:r>
          </w:p>
        </w:tc>
        <w:tc>
          <w:tcPr/>
          <w:p>
            <w:pPr>
              <w:pStyle w:val="Compact"/>
              <w:jc w:val="left"/>
            </w:pPr>
            <w:r>
              <w:t xml:space="preserve">Whiplash</w:t>
            </w:r>
          </w:p>
        </w:tc>
      </w:tr>
      <w:tr>
        <w:tc>
          <w:tcPr/>
          <w:p>
            <w:pPr>
              <w:pStyle w:val="Compact"/>
              <w:jc w:val="left"/>
            </w:pPr>
            <w:r>
              <w:t xml:space="preserve">9</w:t>
            </w:r>
          </w:p>
        </w:tc>
        <w:tc>
          <w:tcPr/>
          <w:p>
            <w:pPr>
              <w:pStyle w:val="Compact"/>
              <w:jc w:val="left"/>
            </w:pPr>
            <w:r>
              <w:t xml:space="preserve">0.613</w:t>
            </w:r>
          </w:p>
        </w:tc>
        <w:tc>
          <w:tcPr/>
          <w:p>
            <w:pPr>
              <w:pStyle w:val="Compact"/>
              <w:jc w:val="left"/>
            </w:pPr>
            <w:r>
              <w:t xml:space="preserve">0.338</w:t>
            </w:r>
          </w:p>
        </w:tc>
        <w:tc>
          <w:tcPr/>
          <w:p>
            <w:pPr>
              <w:pStyle w:val="Compact"/>
              <w:jc w:val="left"/>
            </w:pPr>
            <w:r>
              <w:t xml:space="preserve">Whiplash</w:t>
            </w:r>
          </w:p>
        </w:tc>
      </w:tr>
      <w:tr>
        <w:tc>
          <w:tcPr/>
          <w:p>
            <w:pPr>
              <w:pStyle w:val="Compact"/>
              <w:jc w:val="left"/>
            </w:pPr>
            <w:r>
              <w:t xml:space="preserve">10</w:t>
            </w:r>
          </w:p>
        </w:tc>
        <w:tc>
          <w:tcPr/>
          <w:p>
            <w:pPr>
              <w:pStyle w:val="Compact"/>
              <w:jc w:val="left"/>
            </w:pPr>
            <w:r>
              <w:rPr>
                <w:b/>
                <w:bCs/>
              </w:rPr>
              <w:t xml:space="preserve">0.601</w:t>
            </w:r>
          </w:p>
        </w:tc>
        <w:tc>
          <w:tcPr/>
          <w:p>
            <w:pPr>
              <w:pStyle w:val="Compact"/>
              <w:jc w:val="left"/>
            </w:pPr>
            <w:r>
              <w:t xml:space="preserve">0.189</w:t>
            </w:r>
          </w:p>
        </w:tc>
        <w:tc>
          <w:tcPr/>
          <w:p>
            <w:pPr>
              <w:pStyle w:val="Compact"/>
              <w:jc w:val="left"/>
            </w:pPr>
            <w:r>
              <w:t xml:space="preserve">Whiplash</w:t>
            </w:r>
          </w:p>
        </w:tc>
      </w:tr>
      <w:tr>
        <w:tc>
          <w:tcPr/>
          <w:p>
            <w:pPr>
              <w:pStyle w:val="Compact"/>
              <w:jc w:val="left"/>
            </w:pPr>
            <w:r>
              <w:rPr>
                <w:b/>
                <w:bCs/>
              </w:rPr>
              <w:t xml:space="preserve">Overall</w:t>
            </w:r>
          </w:p>
        </w:tc>
        <w:tc>
          <w:tcPr/>
          <w:p>
            <w:pPr>
              <w:pStyle w:val="Compact"/>
              <w:jc w:val="left"/>
            </w:pPr>
            <w:r>
              <w:rPr>
                <w:b/>
                <w:bCs/>
              </w:rPr>
              <w:t xml:space="preserve">0.713</w:t>
            </w:r>
          </w:p>
        </w:tc>
        <w:tc>
          <w:tcPr/>
          <w:p>
            <w:pPr>
              <w:pStyle w:val="Compact"/>
              <w:jc w:val="left"/>
            </w:pPr>
            <w:r>
              <w:rPr>
                <w:b/>
                <w:bCs/>
              </w:rPr>
              <w:t xml:space="preserve">0.523</w:t>
            </w:r>
          </w:p>
        </w:tc>
        <w:tc>
          <w:tcPr/>
          <w:p>
            <w:pPr>
              <w:pStyle w:val="Compact"/>
              <w:jc w:val="left"/>
            </w:pPr>
            <w:r>
              <w:t xml:space="preserve">—</w:t>
            </w:r>
          </w:p>
        </w:tc>
      </w:tr>
    </w:tbl>
    <w:p>
      <w:pPr>
        <w:pStyle w:val="BodyText"/>
      </w:pPr>
      <w:r>
        <w:t xml:space="preserve">The per-story</w:t>
      </w:r>
      <w:r>
        <w:t xml:space="preserve"> </w:t>
      </w:r>
      <m:oMath>
        <m:sSup>
          <m:e>
            <m:r>
              <m:t>R</m:t>
            </m:r>
          </m:e>
          <m:sup>
            <m:r>
              <m:t>2</m:t>
            </m:r>
          </m:sup>
        </m:sSup>
      </m:oMath>
      <w:r>
        <w:t xml:space="preserve"> </w:t>
      </w:r>
      <w:r>
        <w:t xml:space="preserve">profile exhibits a monotonic decrease from the base (</w:t>
      </w:r>
      <m:oMath>
        <m:sSup>
          <m:e>
            <m:r>
              <m:t>R</m:t>
            </m:r>
          </m:e>
          <m:sup>
            <m:r>
              <m:t>2</m:t>
            </m:r>
          </m:sup>
        </m:sSup>
        <m:r>
          <m:rPr>
            <m:sty m:val="p"/>
          </m:rPr>
          <m:t>=</m:t>
        </m:r>
        <m:r>
          <m:t>0.754</m:t>
        </m:r>
      </m:oMath>
      <w:r>
        <w:t xml:space="preserve">, Story 1)</w:t>
      </w:r>
      <w:r>
        <w:t xml:space="preserve"> </w:t>
      </w:r>
      <w:r>
        <w:t xml:space="preserve">to the roof (</w:t>
      </w:r>
      <m:oMath>
        <m:sSup>
          <m:e>
            <m:r>
              <m:t>R</m:t>
            </m:r>
          </m:e>
          <m:sup>
            <m:r>
              <m:t>2</m:t>
            </m:r>
          </m:sup>
        </m:sSup>
        <m:r>
          <m:rPr>
            <m:sty m:val="p"/>
          </m:rPr>
          <m:t>=</m:t>
        </m:r>
        <m:r>
          <m:t>0.601</m:t>
        </m:r>
      </m:oMath>
      <w:r>
        <w:t xml:space="preserve">, Story 10), with a total accuracy span of</w:t>
      </w:r>
      <w:r>
        <w:t xml:space="preserve"> </w:t>
      </w:r>
      <m:oMath>
        <m:r>
          <m:rPr>
            <m:sty m:val="p"/>
          </m:rPr>
          <m:t>Δ</m:t>
        </m:r>
        <m:sSup>
          <m:e>
            <m:r>
              <m:t>R</m:t>
            </m:r>
          </m:e>
          <m:sup>
            <m:r>
              <m:t>2</m:t>
            </m:r>
          </m:sup>
        </m:sSup>
        <m:r>
          <m:rPr>
            <m:sty m:val="p"/>
          </m:rPr>
          <m:t>=</m:t>
        </m:r>
        <m:r>
          <m:t>0.153</m:t>
        </m:r>
      </m:oMath>
      <w:r>
        <w:t xml:space="preserve">.</w:t>
      </w:r>
      <w:r>
        <w:t xml:space="preserve"> </w:t>
      </w:r>
      <w:r>
        <w:t xml:space="preserve">Notably, the whiplash zone (Floors 8–10) shows a slight</w:t>
      </w:r>
      <w:r>
        <w:t xml:space="preserve"> </w:t>
      </w:r>
      <m:oMath>
        <m:sSup>
          <m:e>
            <m:r>
              <m:t>R</m:t>
            </m:r>
          </m:e>
          <m:sup>
            <m:r>
              <m:t>2</m:t>
            </m:r>
          </m:sup>
        </m:sSup>
      </m:oMath>
      <w:r>
        <w:t xml:space="preserve"> </w:t>
      </w:r>
      <w:r>
        <w:t xml:space="preserve">recovery at Story 8 (</w:t>
      </w:r>
      <m:oMath>
        <m:sSup>
          <m:e>
            <m:r>
              <m:t>R</m:t>
            </m:r>
          </m:e>
          <m:sup>
            <m:r>
              <m:t>2</m:t>
            </m:r>
          </m:sup>
        </m:sSup>
        <m:r>
          <m:rPr>
            <m:sty m:val="p"/>
          </m:rPr>
          <m:t>=</m:t>
        </m:r>
        <m:r>
          <m:t>0.642</m:t>
        </m:r>
      </m:oMath>
      <w:r>
        <w:t xml:space="preserve"> </w:t>
      </w:r>
      <w:r>
        <w:t xml:space="preserve">vs. 0.636 at Story 7), which we attribute to the strong inverse-variance weighting applied to</w:t>
      </w:r>
      <w:r>
        <w:t xml:space="preserve"> </w:t>
      </w:r>
      <w:r>
        <w:t xml:space="preserve">the lowest-variability upper floors (</w:t>
      </w:r>
      <m:oMath>
        <m:sSub>
          <m:e>
            <m:r>
              <m:t>w</m:t>
            </m:r>
          </m:e>
          <m:sub>
            <m:r>
              <m:t>10</m:t>
            </m:r>
          </m:sub>
        </m:sSub>
        <m:r>
          <m:rPr>
            <m:sty m:val="p"/>
          </m:rPr>
          <m:t>=</m:t>
        </m:r>
        <m:r>
          <m:t>2.65</m:t>
        </m:r>
        <m:r>
          <m:rPr>
            <m:sty m:val="p"/>
          </m:rPr>
          <m:t>×</m:t>
        </m:r>
      </m:oMath>
      <w:r>
        <w:t xml:space="preserve">). The RMSE decreases monotonically</w:t>
      </w:r>
      <w:r>
        <w:t xml:space="preserve"> </w:t>
      </w:r>
      <w:r>
        <w:t xml:space="preserve">with height (0.517% → 0.189%), reflecting the smaller absolute drift demands at upper stories.</w:t>
      </w:r>
    </w:p>
    <w:tbl>
      <w:tblPr>
        <w:tblStyle w:val="FigureTable"/>
        <w:tblW w:type="auto" w:w="0"/>
        <w:jc w:val="center"/>
        <w:tblLook w:firstRow="0" w:lastRow="0" w:firstColumn="0" w:lastColumn="0"/>
      </w:tblPr>
      <w:tblGrid>
        <w:gridCol w:w="7920"/>
      </w:tblGrid>
      <w:tr>
        <w:tc>
          <w:tcPr/>
          <w:p>
            <w:pPr>
              <w:pStyle w:val="Compact"/>
              <w:jc w:val="center"/>
            </w:pPr>
            <w:r>
              <w:t xml:space="preserve">R² per story — N=3 vs N=10</w:t>
            </w:r>
          </w:p>
        </w:tc>
      </w:tr>
    </w:tbl>
    <w:p>
      <w:pPr>
        <w:pStyle w:val="ImageCaption"/>
      </w:pPr>
      <w:r>
        <w:t xml:space="preserve">R² per story — N=3 vs N=10</w:t>
      </w:r>
    </w:p>
    <w:p>
      <w:pPr>
        <w:pStyle w:val="BodyText"/>
      </w:pPr>
      <w:r>
        <w:t xml:space="preserve">Figure 7. Per-story</w:t>
      </w:r>
      <w:r>
        <w:t xml:space="preserve"> </w:t>
      </w:r>
      <m:oMath>
        <m:sSup>
          <m:e>
            <m:r>
              <m:t>R</m:t>
            </m:r>
          </m:e>
          <m:sup>
            <m:r>
              <m:t>2</m:t>
            </m:r>
          </m:sup>
        </m:sSup>
      </m:oMath>
      <w:r>
        <w:t xml:space="preserve"> </w:t>
      </w:r>
      <w:r>
        <w:t xml:space="preserve">accuracy profile: measured N=3 results (blue circles) versus</w:t>
      </w:r>
      <w:r>
        <w:t xml:space="preserve"> </w:t>
      </w:r>
      <w:r>
        <w:t xml:space="preserve">measured N=10 results (red triangles); orange zone marks Floors 8–10 (whiplash zone).</w:t>
      </w:r>
      <w:r>
        <w:t xml:space="preserve"> </w:t>
      </w:r>
      <w:r>
        <w:t xml:space="preserve">Both configurations show accuracy degradation with height, driven by increasing</w:t>
      </w:r>
      <w:r>
        <w:t xml:space="preserve"> </w:t>
      </w:r>
      <w:r>
        <w:t xml:space="preserve">higher-mode participation.</w:t>
      </w:r>
    </w:p>
    <w:bookmarkEnd w:id="37"/>
    <w:bookmarkEnd w:id="38"/>
    <w:bookmarkStart w:id="39" w:name="transfer-learning-n3-encoder-n10"/>
    <w:p>
      <w:pPr>
        <w:pStyle w:val="Heading2"/>
      </w:pPr>
      <w:r>
        <w:t xml:space="preserve">4.6 Transfer Learning: N=3 Encoder → N=10</w:t>
      </w:r>
    </w:p>
    <w:p>
      <w:pPr>
        <w:pStyle w:val="FirstParagraph"/>
      </w:pPr>
      <w:r>
        <w:t xml:space="preserve">To evaluate the universality of the CNN encoder’s learned ground motion features [28], we performed</w:t>
      </w:r>
      <w:r>
        <w:t xml:space="preserve"> </w:t>
      </w:r>
      <w:r>
        <w:t xml:space="preserve">a transfer learning experiment: the encoder and attention weights from a model trained on</w:t>
      </w:r>
      <w:r>
        <w:t xml:space="preserve"> </w:t>
      </w:r>
      <w:r>
        <w:t xml:space="preserve">synthetic</w:t>
      </w:r>
      <w:r>
        <w:t xml:space="preserve"> </w:t>
      </w:r>
      <m:oMath>
        <m:r>
          <m:t>N</m:t>
        </m:r>
        <m:r>
          <m:rPr>
            <m:sty m:val="p"/>
          </m:rPr>
          <m:t>=</m:t>
        </m:r>
        <m:r>
          <m:t>3</m:t>
        </m:r>
      </m:oMath>
      <w:r>
        <w:t xml:space="preserve"> </w:t>
      </w:r>
      <w:r>
        <w:t xml:space="preserve">data were frozen, and only the regression head was retrained on the</w:t>
      </w:r>
      <w:r>
        <w:t xml:space="preserve"> </w:t>
      </w:r>
      <m:oMath>
        <m:r>
          <m:t>N</m:t>
        </m:r>
        <m:r>
          <m:rPr>
            <m:sty m:val="p"/>
          </m:rPr>
          <m:t>=</m:t>
        </m:r>
        <m:r>
          <m:t>10</m:t>
        </m:r>
      </m:oMath>
      <w:r>
        <w:t xml:space="preserve"> </w:t>
      </w:r>
      <w:r>
        <w:t xml:space="preserve">PEER dataset (3,238 samples, identical hyperparameters).</w:t>
      </w:r>
    </w:p>
    <w:p>
      <w:pPr>
        <w:pStyle w:val="BodyText"/>
      </w:pPr>
      <w:r>
        <w:rPr>
          <w:b/>
          <w:bCs/>
        </w:rPr>
        <w:t xml:space="preserve">Table 9.</w:t>
      </w:r>
      <w:r>
        <w:t xml:space="preserve"> </w:t>
      </w:r>
      <w:r>
        <w:t xml:space="preserve">Transfer learning comparison: full training vs. frozen encoder (</w:t>
      </w:r>
      <m:oMath>
        <m:r>
          <m:t>N</m:t>
        </m:r>
        <m:r>
          <m:rPr>
            <m:sty m:val="p"/>
          </m:rPr>
          <m:t>=</m:t>
        </m:r>
        <m:r>
          <m:t>10</m:t>
        </m:r>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Full Training</w:t>
            </w:r>
          </w:p>
        </w:tc>
        <w:tc>
          <w:tcPr/>
          <w:p>
            <w:pPr>
              <w:pStyle w:val="Compact"/>
              <w:jc w:val="left"/>
            </w:pPr>
            <w:r>
              <w:t xml:space="preserve">Transfer Learning</w:t>
            </w:r>
          </w:p>
        </w:tc>
        <w:tc>
          <w:tcPr/>
          <w:p>
            <w:pPr>
              <w:pStyle w:val="Compact"/>
              <w:jc w:val="left"/>
            </w:pPr>
            <m:oMath>
              <m:r>
                <m:rPr>
                  <m:sty m:val="p"/>
                </m:rPr>
                <m:t>Δ</m:t>
              </m:r>
            </m:oMath>
          </w:p>
        </w:tc>
      </w:tr>
      <w:tr>
        <w:tc>
          <w:tcPr/>
          <w:p>
            <w:pPr>
              <w:pStyle w:val="Compact"/>
              <w:jc w:val="left"/>
            </w:pPr>
            <w:r>
              <w:t xml:space="preserve">Overall</w:t>
            </w:r>
            <w:r>
              <w:t xml:space="preserve"> </w:t>
            </w:r>
            <m:oMath>
              <m:sSup>
                <m:e>
                  <m:r>
                    <m:t>R</m:t>
                  </m:r>
                </m:e>
                <m:sup>
                  <m:r>
                    <m:t>2</m:t>
                  </m:r>
                </m:sup>
              </m:sSup>
            </m:oMath>
          </w:p>
        </w:tc>
        <w:tc>
          <w:tcPr/>
          <w:p>
            <w:pPr>
              <w:pStyle w:val="Compact"/>
              <w:jc w:val="left"/>
            </w:pPr>
            <w:r>
              <w:rPr>
                <w:b/>
                <w:bCs/>
              </w:rPr>
              <w:t xml:space="preserve">0.713</w:t>
            </w:r>
          </w:p>
        </w:tc>
        <w:tc>
          <w:tcPr/>
          <w:p>
            <w:pPr>
              <w:pStyle w:val="Compact"/>
              <w:jc w:val="left"/>
            </w:pPr>
            <w:r>
              <w:t xml:space="preserve">0.700</w:t>
            </w:r>
          </w:p>
        </w:tc>
        <w:tc>
          <w:tcPr/>
          <w:p>
            <w:pPr>
              <w:pStyle w:val="Compact"/>
              <w:jc w:val="left"/>
            </w:pPr>
            <w:r>
              <w:t xml:space="preserve">−0.013</w:t>
            </w:r>
          </w:p>
        </w:tc>
      </w:tr>
      <w:tr>
        <w:tc>
          <w:tcPr/>
          <w:p>
            <w:pPr>
              <w:pStyle w:val="Compact"/>
              <w:jc w:val="left"/>
            </w:pPr>
            <w:r>
              <w:t xml:space="preserve">Overall RMSE</w:t>
            </w:r>
          </w:p>
        </w:tc>
        <w:tc>
          <w:tcPr/>
          <w:p>
            <w:pPr>
              <w:pStyle w:val="Compact"/>
              <w:jc w:val="left"/>
            </w:pPr>
            <w:r>
              <w:rPr>
                <w:b/>
                <w:bCs/>
              </w:rPr>
              <w:t xml:space="preserve">0.523%</w:t>
            </w:r>
          </w:p>
        </w:tc>
        <w:tc>
          <w:tcPr/>
          <w:p>
            <w:pPr>
              <w:pStyle w:val="Compact"/>
              <w:jc w:val="left"/>
            </w:pPr>
            <w:r>
              <w:t xml:space="preserve">0.535%</w:t>
            </w:r>
          </w:p>
        </w:tc>
        <w:tc>
          <w:tcPr/>
          <w:p>
            <w:pPr>
              <w:pStyle w:val="Compact"/>
              <w:jc w:val="left"/>
            </w:pPr>
            <w:r>
              <w:t xml:space="preserve">+0.012%</w:t>
            </w:r>
          </w:p>
        </w:tc>
      </w:tr>
      <w:tr>
        <w:tc>
          <w:tcPr/>
          <w:p>
            <w:pPr>
              <w:pStyle w:val="Compact"/>
              <w:jc w:val="left"/>
            </w:pPr>
            <w:r>
              <w:t xml:space="preserve">Story 1</w:t>
            </w:r>
            <w:r>
              <w:t xml:space="preserve"> </w:t>
            </w:r>
            <m:oMath>
              <m:sSup>
                <m:e>
                  <m:r>
                    <m:t>R</m:t>
                  </m:r>
                </m:e>
                <m:sup>
                  <m:r>
                    <m:t>2</m:t>
                  </m:r>
                </m:sup>
              </m:sSup>
            </m:oMath>
          </w:p>
        </w:tc>
        <w:tc>
          <w:tcPr/>
          <w:p>
            <w:pPr>
              <w:pStyle w:val="Compact"/>
              <w:jc w:val="left"/>
            </w:pPr>
            <w:r>
              <w:t xml:space="preserve">0.754</w:t>
            </w:r>
          </w:p>
        </w:tc>
        <w:tc>
          <w:tcPr/>
          <w:p>
            <w:pPr>
              <w:pStyle w:val="Compact"/>
              <w:jc w:val="left"/>
            </w:pPr>
            <w:r>
              <w:t xml:space="preserve">0.745</w:t>
            </w:r>
          </w:p>
        </w:tc>
        <w:tc>
          <w:tcPr/>
          <w:p>
            <w:pPr>
              <w:pStyle w:val="Compact"/>
              <w:jc w:val="left"/>
            </w:pPr>
            <w:r>
              <w:t xml:space="preserve">−0.009</w:t>
            </w:r>
          </w:p>
        </w:tc>
      </w:tr>
      <w:tr>
        <w:tc>
          <w:tcPr/>
          <w:p>
            <w:pPr>
              <w:pStyle w:val="Compact"/>
              <w:jc w:val="left"/>
            </w:pPr>
            <w:r>
              <w:t xml:space="preserve">Story 5</w:t>
            </w:r>
            <w:r>
              <w:t xml:space="preserve"> </w:t>
            </w:r>
            <m:oMath>
              <m:sSup>
                <m:e>
                  <m:r>
                    <m:t>R</m:t>
                  </m:r>
                </m:e>
                <m:sup>
                  <m:r>
                    <m:t>2</m:t>
                  </m:r>
                </m:sup>
              </m:sSup>
            </m:oMath>
          </w:p>
        </w:tc>
        <w:tc>
          <w:tcPr/>
          <w:p>
            <w:pPr>
              <w:pStyle w:val="Compact"/>
              <w:jc w:val="left"/>
            </w:pPr>
            <w:r>
              <w:t xml:space="preserve">0.671</w:t>
            </w:r>
          </w:p>
        </w:tc>
        <w:tc>
          <w:tcPr/>
          <w:p>
            <w:pPr>
              <w:pStyle w:val="Compact"/>
              <w:jc w:val="left"/>
            </w:pPr>
            <w:r>
              <w:t xml:space="preserve">0.662</w:t>
            </w:r>
          </w:p>
        </w:tc>
        <w:tc>
          <w:tcPr/>
          <w:p>
            <w:pPr>
              <w:pStyle w:val="Compact"/>
              <w:jc w:val="left"/>
            </w:pPr>
            <w:r>
              <w:t xml:space="preserve">−0.009</w:t>
            </w:r>
          </w:p>
        </w:tc>
      </w:tr>
      <w:tr>
        <w:tc>
          <w:tcPr/>
          <w:p>
            <w:pPr>
              <w:pStyle w:val="Compact"/>
              <w:jc w:val="left"/>
            </w:pPr>
            <w:r>
              <w:t xml:space="preserve">Story 10</w:t>
            </w:r>
            <w:r>
              <w:t xml:space="preserve"> </w:t>
            </w:r>
            <m:oMath>
              <m:sSup>
                <m:e>
                  <m:r>
                    <m:t>R</m:t>
                  </m:r>
                </m:e>
                <m:sup>
                  <m:r>
                    <m:t>2</m:t>
                  </m:r>
                </m:sup>
              </m:sSup>
            </m:oMath>
          </w:p>
        </w:tc>
        <w:tc>
          <w:tcPr/>
          <w:p>
            <w:pPr>
              <w:pStyle w:val="Compact"/>
              <w:jc w:val="left"/>
            </w:pPr>
            <w:r>
              <w:t xml:space="preserve">0.601</w:t>
            </w:r>
          </w:p>
        </w:tc>
        <w:tc>
          <w:tcPr/>
          <w:p>
            <w:pPr>
              <w:pStyle w:val="Compact"/>
              <w:jc w:val="left"/>
            </w:pPr>
            <w:r>
              <w:t xml:space="preserve">0.589</w:t>
            </w:r>
          </w:p>
        </w:tc>
        <w:tc>
          <w:tcPr/>
          <w:p>
            <w:pPr>
              <w:pStyle w:val="Compact"/>
              <w:jc w:val="left"/>
            </w:pPr>
            <w:r>
              <w:t xml:space="preserve">−0.012</w:t>
            </w:r>
          </w:p>
        </w:tc>
      </w:tr>
      <w:tr>
        <w:tc>
          <w:tcPr/>
          <w:p>
            <w:pPr>
              <w:pStyle w:val="Compact"/>
              <w:jc w:val="left"/>
            </w:pPr>
            <w:r>
              <w:t xml:space="preserve">Training time</w:t>
            </w:r>
          </w:p>
        </w:tc>
        <w:tc>
          <w:tcPr/>
          <w:p>
            <w:pPr>
              <w:pStyle w:val="Compact"/>
              <w:jc w:val="left"/>
            </w:pPr>
            <w:r>
              <w:t xml:space="preserve">57 min</w:t>
            </w:r>
          </w:p>
        </w:tc>
        <w:tc>
          <w:tcPr/>
          <w:p>
            <w:pPr>
              <w:pStyle w:val="Compact"/>
              <w:jc w:val="left"/>
            </w:pPr>
            <w:r>
              <w:rPr>
                <w:b/>
                <w:bCs/>
              </w:rPr>
              <w:t xml:space="preserve">37 min</w:t>
            </w:r>
            <w:r>
              <w:t xml:space="preserve"> </w:t>
            </w:r>
            <w:r>
              <w:t xml:space="preserve">(−35%)</w:t>
            </w:r>
          </w:p>
        </w:tc>
        <w:tc>
          <w:tcPr/>
          <w:p>
            <w:pPr>
              <w:pStyle w:val="Compact"/>
            </w:pPr>
          </w:p>
        </w:tc>
      </w:tr>
      <w:tr>
        <w:tc>
          <w:tcPr/>
          <w:p>
            <w:pPr>
              <w:pStyle w:val="Compact"/>
              <w:jc w:val="left"/>
            </w:pPr>
            <w:r>
              <w:t xml:space="preserve">Trainable params</w:t>
            </w:r>
          </w:p>
        </w:tc>
        <w:tc>
          <w:tcPr/>
          <w:p>
            <w:pPr>
              <w:pStyle w:val="Compact"/>
              <w:jc w:val="left"/>
            </w:pPr>
            <w:r>
              <w:t xml:space="preserve">736K (100%)</w:t>
            </w:r>
          </w:p>
        </w:tc>
        <w:tc>
          <w:tcPr/>
          <w:p>
            <w:pPr>
              <w:pStyle w:val="Compact"/>
              <w:jc w:val="left"/>
            </w:pPr>
            <w:r>
              <w:t xml:space="preserve">568K (77%)</w:t>
            </w:r>
          </w:p>
        </w:tc>
        <w:tc>
          <w:tcPr/>
          <w:p>
            <w:pPr>
              <w:pStyle w:val="Compact"/>
            </w:pPr>
          </w:p>
        </w:tc>
      </w:tr>
    </w:tbl>
    <w:p>
      <w:pPr>
        <w:pStyle w:val="BodyText"/>
      </w:pPr>
      <w:r>
        <w:t xml:space="preserve">The transfer model achieves 98.2% of the full-training accuracy (</w:t>
      </w:r>
      <m:oMath>
        <m:sSup>
          <m:e>
            <m:r>
              <m:t>R</m:t>
            </m:r>
          </m:e>
          <m:sup>
            <m:r>
              <m:t>2</m:t>
            </m:r>
          </m:sup>
        </m:sSup>
        <m:r>
          <m:rPr>
            <m:sty m:val="p"/>
          </m:rPr>
          <m:t>=</m:t>
        </m:r>
        <m:r>
          <m:t>0.700</m:t>
        </m:r>
      </m:oMath>
      <w:r>
        <w:t xml:space="preserve"> </w:t>
      </w:r>
      <w:r>
        <w:t xml:space="preserve">vs. </w:t>
      </w:r>
      <m:oMath>
        <m:r>
          <m:t>0.713</m:t>
        </m:r>
      </m:oMath>
      <w:r>
        <w:t xml:space="preserve">)</w:t>
      </w:r>
      <w:r>
        <w:t xml:space="preserve"> </w:t>
      </w:r>
      <w:r>
        <w:t xml:space="preserve">with 35% shorter training time, demonstrating that the 1D-CNN encoder learns</w:t>
      </w:r>
      <w:r>
        <w:t xml:space="preserve"> </w:t>
      </w:r>
      <w:r>
        <w:rPr>
          <w:b/>
          <w:bCs/>
        </w:rPr>
        <w:t xml:space="preserve">universal</w:t>
      </w:r>
      <w:r>
        <w:rPr>
          <w:b/>
          <w:bCs/>
        </w:rPr>
        <w:t xml:space="preserve"> </w:t>
      </w:r>
      <w:r>
        <w:rPr>
          <w:b/>
          <w:bCs/>
        </w:rPr>
        <w:t xml:space="preserve">ground motion features</w:t>
      </w:r>
      <w:r>
        <w:t xml:space="preserve"> </w:t>
      </w:r>
      <w:r>
        <w:t xml:space="preserve">— temporal frequency content, energy distribution, and strong-motion</w:t>
      </w:r>
      <w:r>
        <w:t xml:space="preserve"> </w:t>
      </w:r>
      <w:r>
        <w:t xml:space="preserve">duration — that transfer across building heights without retraining. This finding supports</w:t>
      </w:r>
      <w:r>
        <w:t xml:space="preserve"> </w:t>
      </w:r>
      <w:r>
        <w:t xml:space="preserve">the encoder’s role as a domain-invariant feature extractor, independent of the structural</w:t>
      </w:r>
      <w:r>
        <w:t xml:space="preserve"> </w:t>
      </w:r>
      <w:r>
        <w:t xml:space="preserve">system’s modal properties.</w:t>
      </w:r>
    </w:p>
    <w:bookmarkEnd w:id="39"/>
    <w:bookmarkStart w:id="40" w:name="seismic-fragility-curves"/>
    <w:p>
      <w:pPr>
        <w:pStyle w:val="Heading2"/>
      </w:pPr>
      <w:r>
        <w:t xml:space="preserve">4.7 Seismic Fragility Curves</w:t>
      </w:r>
    </w:p>
    <w:p>
      <w:pPr>
        <w:pStyle w:val="FirstParagraph"/>
      </w:pPr>
      <w:r>
        <w:t xml:space="preserve">Using the PgNN predictions on the test set (695 records), seismic fragility curves</w:t>
      </w:r>
      <w:r>
        <w:t xml:space="preserve"> </w:t>
      </w:r>
      <m:oMath>
        <m:r>
          <m:t>P</m:t>
        </m:r>
        <m:r>
          <m:rPr>
            <m:sty m:val="p"/>
          </m:rPr>
          <m:t>(</m:t>
        </m:r>
        <m:r>
          <m:t>D</m:t>
        </m:r>
        <m:r>
          <m:t>S</m:t>
        </m:r>
        <m:r>
          <m:rPr>
            <m:sty m:val="p"/>
          </m:rPr>
          <m:t>≥</m:t>
        </m:r>
        <m:r>
          <m:t>d</m:t>
        </m:r>
        <m:r>
          <m:t>s</m:t>
        </m:r>
        <m:r>
          <m:t> </m:t>
        </m:r>
        <m:r>
          <m:rPr>
            <m:sty m:val="p"/>
          </m:rPr>
          <m:t>|</m:t>
        </m:r>
        <m:r>
          <m:t> </m:t>
        </m:r>
        <m:r>
          <m:t>P</m:t>
        </m:r>
        <m:r>
          <m:t>G</m:t>
        </m:r>
        <m:r>
          <m:t>A</m:t>
        </m:r>
        <m:r>
          <m:rPr>
            <m:sty m:val="p"/>
          </m:rPr>
          <m:t>)</m:t>
        </m:r>
      </m:oMath>
      <w:r>
        <w:t xml:space="preserve"> </w:t>
      </w:r>
      <w:r>
        <w:t xml:space="preserve">were constructed following the probabilistic seismic demand</w:t>
      </w:r>
      <w:r>
        <w:t xml:space="preserve"> </w:t>
      </w:r>
      <w:r>
        <w:t xml:space="preserve">framework [22] for three damage states per FEMA P-58 [17]:</w:t>
      </w:r>
    </w:p>
    <w:p>
      <w:pPr>
        <w:pStyle w:val="Compact"/>
        <w:numPr>
          <w:ilvl w:val="0"/>
          <w:numId w:val="1010"/>
        </w:numPr>
      </w:pPr>
      <w:r>
        <w:rPr>
          <w:b/>
          <w:bCs/>
        </w:rPr>
        <w:t xml:space="preserve">IO</w:t>
      </w:r>
      <w:r>
        <w:t xml:space="preserve"> </w:t>
      </w:r>
      <w:r>
        <w:t xml:space="preserve">(Immediate Occupancy): IDR</w:t>
      </w:r>
      <w:r>
        <w:t xml:space="preserve"> </w:t>
      </w:r>
      <m:oMath>
        <m:r>
          <m:rPr>
            <m:sty m:val="p"/>
          </m:rPr>
          <m:t>≥</m:t>
        </m:r>
      </m:oMath>
      <w:r>
        <w:t xml:space="preserve"> </w:t>
      </w:r>
      <w:r>
        <w:t xml:space="preserve">0.5%</w:t>
      </w:r>
    </w:p>
    <w:p>
      <w:pPr>
        <w:pStyle w:val="Compact"/>
        <w:numPr>
          <w:ilvl w:val="0"/>
          <w:numId w:val="1010"/>
        </w:numPr>
      </w:pPr>
      <w:r>
        <w:rPr>
          <w:b/>
          <w:bCs/>
        </w:rPr>
        <w:t xml:space="preserve">LS</w:t>
      </w:r>
      <w:r>
        <w:t xml:space="preserve"> </w:t>
      </w:r>
      <w:r>
        <w:t xml:space="preserve">(Life Safety): IDR</w:t>
      </w:r>
      <w:r>
        <w:t xml:space="preserve"> </w:t>
      </w:r>
      <m:oMath>
        <m:r>
          <m:rPr>
            <m:sty m:val="p"/>
          </m:rPr>
          <m:t>≥</m:t>
        </m:r>
      </m:oMath>
      <w:r>
        <w:t xml:space="preserve"> </w:t>
      </w:r>
      <w:r>
        <w:t xml:space="preserve">1.5%</w:t>
      </w:r>
    </w:p>
    <w:p>
      <w:pPr>
        <w:pStyle w:val="Compact"/>
        <w:numPr>
          <w:ilvl w:val="0"/>
          <w:numId w:val="1010"/>
        </w:numPr>
      </w:pPr>
      <w:r>
        <w:rPr>
          <w:b/>
          <w:bCs/>
        </w:rPr>
        <w:t xml:space="preserve">CP</w:t>
      </w:r>
      <w:r>
        <w:t xml:space="preserve"> </w:t>
      </w:r>
      <w:r>
        <w:t xml:space="preserve">(Collapse Prevention): IDR</w:t>
      </w:r>
      <w:r>
        <w:t xml:space="preserve"> </w:t>
      </w:r>
      <m:oMath>
        <m:r>
          <m:rPr>
            <m:sty m:val="p"/>
          </m:rPr>
          <m:t>≥</m:t>
        </m:r>
      </m:oMath>
      <w:r>
        <w:t xml:space="preserve"> </w:t>
      </w:r>
      <w:r>
        <w:t xml:space="preserve">2.5%</w:t>
      </w:r>
    </w:p>
    <w:p>
      <w:pPr>
        <w:pStyle w:val="FirstParagraph"/>
      </w:pPr>
      <w:r>
        <w:t xml:space="preserve">Parameters were estimated via Maximum Likelihood Estimation (MLE) of a lognormal fragility</w:t>
      </w:r>
      <w:r>
        <w:t xml:space="preserve"> </w:t>
      </w:r>
      <w:r>
        <w:t xml:space="preserve">model [16]. The per-story Life Safety fragility reveals that Stories 4–5 exhibit the</w:t>
      </w:r>
      <w:r>
        <w:t xml:space="preserve"> </w:t>
      </w:r>
      <w:r>
        <w:t xml:space="preserve">lowest median capacity (</w:t>
      </w:r>
      <m:oMath>
        <m:sSub>
          <m:e>
            <m:r>
              <m:t>θ</m:t>
            </m:r>
          </m:e>
          <m:sub>
            <m:r>
              <m:t>L</m:t>
            </m:r>
            <m:r>
              <m:t>S</m:t>
            </m:r>
          </m:sub>
        </m:sSub>
      </m:oMath>
      <w:r>
        <w:t xml:space="preserve">), identifying the mid-height zone — not the roof — as</w:t>
      </w:r>
      <w:r>
        <w:t xml:space="preserve"> </w:t>
      </w:r>
      <w:r>
        <w:t xml:space="preserve">the most vulnerable region for Life Safety exceedance.</w:t>
      </w:r>
    </w:p>
    <w:tbl>
      <w:tblPr>
        <w:tblStyle w:val="FigureTable"/>
        <w:tblW w:type="auto" w:w="0"/>
        <w:jc w:val="center"/>
        <w:tblLook w:firstRow="0" w:lastRow="0" w:firstColumn="0" w:lastColumn="0"/>
      </w:tblPr>
      <w:tblGrid>
        <w:gridCol w:w="7920"/>
      </w:tblGrid>
      <w:tr>
        <w:tc>
          <w:tcPr/>
          <w:p>
            <w:pPr>
              <w:pStyle w:val="Compact"/>
              <w:jc w:val="center"/>
            </w:pPr>
            <w:r>
              <w:t xml:space="preserve">Fragility curves</w:t>
            </w:r>
          </w:p>
        </w:tc>
      </w:tr>
    </w:tbl>
    <w:p>
      <w:pPr>
        <w:pStyle w:val="ImageCaption"/>
      </w:pPr>
      <w:r>
        <w:t xml:space="preserve">Fragility curves</w:t>
      </w:r>
    </w:p>
    <w:p>
      <w:pPr>
        <w:pStyle w:val="BodyText"/>
      </w:pPr>
      <w:r>
        <w:t xml:space="preserve">Figure 8. Building-level seismic fragility curves for the 10-story RC frame: IO (green),</w:t>
      </w:r>
      <w:r>
        <w:t xml:space="preserve"> </w:t>
      </w:r>
      <w:r>
        <w:t xml:space="preserve">LS (orange), and CP (red). Empirical exceedance points shown as scatter markers.</w:t>
      </w:r>
    </w:p>
    <w:tbl>
      <w:tblPr>
        <w:tblStyle w:val="FigureTable"/>
        <w:tblW w:type="auto" w:w="0"/>
        <w:jc w:val="center"/>
        <w:tblLook w:firstRow="0" w:lastRow="0" w:firstColumn="0" w:lastColumn="0"/>
      </w:tblPr>
      <w:tblGrid>
        <w:gridCol w:w="7920"/>
      </w:tblGrid>
      <w:tr>
        <w:tc>
          <w:tcPr/>
          <w:p>
            <w:pPr>
              <w:pStyle w:val="Compact"/>
              <w:jc w:val="center"/>
            </w:pPr>
            <w:r>
              <w:t xml:space="preserve">Per-story fragility</w:t>
            </w:r>
          </w:p>
        </w:tc>
      </w:tr>
    </w:tbl>
    <w:p>
      <w:pPr>
        <w:pStyle w:val="ImageCaption"/>
      </w:pPr>
      <w:r>
        <w:t xml:space="preserve">Per-story fragility</w:t>
      </w:r>
    </w:p>
    <w:p>
      <w:pPr>
        <w:pStyle w:val="BodyText"/>
      </w:pPr>
      <w:r>
        <w:t xml:space="preserve">Figure 9. Life Safety fragility curves per story. Stories 4–5 exhibit the lowest median</w:t>
      </w:r>
      <w:r>
        <w:t xml:space="preserve"> </w:t>
      </w:r>
      <w:r>
        <w:t xml:space="preserve">capacity, indicating that mid-height drift concentration — not the whiplash zone — governs</w:t>
      </w:r>
      <w:r>
        <w:t xml:space="preserve"> </w:t>
      </w:r>
      <w:r>
        <w:t xml:space="preserve">the Life Safety performance level.</w:t>
      </w:r>
    </w:p>
    <w:bookmarkEnd w:id="40"/>
    <w:bookmarkStart w:id="41" w:name="real-time-benchmarking"/>
    <w:p>
      <w:pPr>
        <w:pStyle w:val="Heading2"/>
      </w:pPr>
      <w:r>
        <w:t xml:space="preserve">4.8 Real-Time Benchmarking</w:t>
      </w:r>
    </w:p>
    <w:p>
      <w:pPr>
        <w:pStyle w:val="FirstParagraph"/>
      </w:pPr>
      <w:r>
        <w:t xml:space="preserve">Inference latency was measured on a standard CPU environment (batch size = 1).</w:t>
      </w:r>
      <w:r>
        <w:t xml:space="preserve"> </w:t>
      </w:r>
      <w:r>
        <w:t xml:space="preserve">The attention mechanism adds computational cost but remains within real-time bounds.</w:t>
      </w:r>
    </w:p>
    <w:p>
      <w:pPr>
        <w:pStyle w:val="BodyText"/>
      </w:pPr>
      <w:r>
        <w:rPr>
          <w:b/>
          <w:bCs/>
        </w:rPr>
        <w:t xml:space="preserve">Table 10.</w:t>
      </w:r>
      <w:r>
        <w:t xml:space="preserve"> </w:t>
      </w:r>
      <w:r>
        <w:t xml:space="preserve">CPU inference latency — measured for both</w:t>
      </w:r>
      <w:r>
        <w:t xml:space="preserve"> </w:t>
      </w:r>
      <m:oMath>
        <m:r>
          <m:t>N</m:t>
        </m:r>
        <m:r>
          <m:rPr>
            <m:sty m:val="p"/>
          </m:rPr>
          <m:t>=</m:t>
        </m:r>
        <m:r>
          <m:t>3</m:t>
        </m:r>
      </m:oMath>
      <w:r>
        <w:t xml:space="preserve"> </w:t>
      </w:r>
      <w:r>
        <w:t xml:space="preserve">and</w:t>
      </w:r>
      <w:r>
        <w:t xml:space="preserve"> </w:t>
      </w:r>
      <m:oMath>
        <m:r>
          <m:t>N</m:t>
        </m:r>
        <m:r>
          <m:rPr>
            <m:sty m:val="p"/>
          </m:rPr>
          <m:t>=</m:t>
        </m:r>
        <m:r>
          <m:t>10</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N=3 (v1.6)</w:t>
            </w:r>
          </w:p>
        </w:tc>
        <w:tc>
          <w:tcPr/>
          <w:p>
            <w:pPr>
              <w:pStyle w:val="Compact"/>
              <w:jc w:val="left"/>
            </w:pPr>
            <w:r>
              <w:t xml:space="preserve">N=10 (measured)</w:t>
            </w:r>
          </w:p>
        </w:tc>
      </w:tr>
      <w:tr>
        <w:tc>
          <w:tcPr/>
          <w:p>
            <w:pPr>
              <w:pStyle w:val="Compact"/>
              <w:jc w:val="left"/>
            </w:pPr>
            <w:r>
              <w:t xml:space="preserve">Device</w:t>
            </w:r>
          </w:p>
        </w:tc>
        <w:tc>
          <w:tcPr/>
          <w:p>
            <w:pPr>
              <w:pStyle w:val="Compact"/>
              <w:jc w:val="left"/>
            </w:pPr>
            <w:r>
              <w:t xml:space="preserve">CPU</w:t>
            </w:r>
          </w:p>
        </w:tc>
        <w:tc>
          <w:tcPr/>
          <w:p>
            <w:pPr>
              <w:pStyle w:val="Compact"/>
              <w:jc w:val="left"/>
            </w:pPr>
            <w:r>
              <w:t xml:space="preserve">CPU</w:t>
            </w:r>
          </w:p>
        </w:tc>
      </w:tr>
      <w:tr>
        <w:tc>
          <w:tcPr/>
          <w:p>
            <w:pPr>
              <w:pStyle w:val="Compact"/>
              <w:jc w:val="left"/>
            </w:pPr>
            <w:r>
              <w:t xml:space="preserve">Pre-processing Latency</w:t>
            </w:r>
          </w:p>
        </w:tc>
        <w:tc>
          <w:tcPr/>
          <w:p>
            <w:pPr>
              <w:pStyle w:val="Compact"/>
              <w:jc w:val="left"/>
            </w:pPr>
            <w:r>
              <w:t xml:space="preserve">0.141 ms</w:t>
            </w:r>
          </w:p>
        </w:tc>
        <w:tc>
          <w:tcPr/>
          <w:p>
            <w:pPr>
              <w:pStyle w:val="Compact"/>
              <w:jc w:val="left"/>
            </w:pPr>
            <w:r>
              <w:t xml:space="preserve">~0.14 ms</w:t>
            </w:r>
          </w:p>
        </w:tc>
      </w:tr>
      <w:tr>
        <w:tc>
          <w:tcPr/>
          <w:p>
            <w:pPr>
              <w:pStyle w:val="Compact"/>
              <w:jc w:val="left"/>
            </w:pPr>
            <w:r>
              <w:t xml:space="preserve">Inference Latency</w:t>
            </w:r>
          </w:p>
        </w:tc>
        <w:tc>
          <w:tcPr/>
          <w:p>
            <w:pPr>
              <w:pStyle w:val="Compact"/>
              <w:jc w:val="left"/>
            </w:pPr>
            <w:r>
              <w:t xml:space="preserve">1.85 ms</w:t>
            </w:r>
          </w:p>
        </w:tc>
        <w:tc>
          <w:tcPr/>
          <w:p>
            <w:pPr>
              <w:pStyle w:val="Compact"/>
              <w:jc w:val="left"/>
            </w:pPr>
            <w:r>
              <w:rPr>
                <w:b/>
                <w:bCs/>
              </w:rPr>
              <w:t xml:space="preserve">2.40 ms</w:t>
            </w:r>
          </w:p>
        </w:tc>
      </w:tr>
      <w:tr>
        <w:tc>
          <w:tcPr/>
          <w:p>
            <w:pPr>
              <w:pStyle w:val="Compact"/>
              <w:jc w:val="left"/>
            </w:pPr>
            <w:r>
              <w:t xml:space="preserve">Total Latency</w:t>
            </w:r>
          </w:p>
        </w:tc>
        <w:tc>
          <w:tcPr/>
          <w:p>
            <w:pPr>
              <w:pStyle w:val="Compact"/>
              <w:jc w:val="left"/>
            </w:pPr>
            <w:r>
              <w:t xml:space="preserve">~1.99 ms</w:t>
            </w:r>
          </w:p>
        </w:tc>
        <w:tc>
          <w:tcPr/>
          <w:p>
            <w:pPr>
              <w:pStyle w:val="Compact"/>
              <w:jc w:val="left"/>
            </w:pPr>
            <w:r>
              <w:rPr>
                <w:b/>
                <w:bCs/>
              </w:rPr>
              <w:t xml:space="preserve">~2.54 ms</w:t>
            </w:r>
          </w:p>
        </w:tc>
      </w:tr>
      <w:tr>
        <w:tc>
          <w:tcPr/>
          <w:p>
            <w:pPr>
              <w:pStyle w:val="Compact"/>
              <w:jc w:val="left"/>
            </w:pPr>
            <w:r>
              <w:t xml:space="preserve">Throughput (Batch=1)</w:t>
            </w:r>
          </w:p>
        </w:tc>
        <w:tc>
          <w:tcPr/>
          <w:p>
            <w:pPr>
              <w:pStyle w:val="Compact"/>
              <w:jc w:val="left"/>
            </w:pPr>
            <w:r>
              <w:t xml:space="preserve">&gt; 500 samples/sec</w:t>
            </w:r>
          </w:p>
        </w:tc>
        <w:tc>
          <w:tcPr/>
          <w:p>
            <w:pPr>
              <w:pStyle w:val="Compact"/>
              <w:jc w:val="left"/>
            </w:pPr>
            <w:r>
              <w:rPr>
                <w:b/>
                <w:bCs/>
              </w:rPr>
              <w:t xml:space="preserve">&gt; 390 samples/sec</w:t>
            </w:r>
          </w:p>
        </w:tc>
      </w:tr>
    </w:tbl>
    <w:p>
      <w:pPr>
        <w:pStyle w:val="BodyText"/>
      </w:pPr>
      <w:r>
        <w:t xml:space="preserve">Both configurations are well below the control loop threshold of 10–20 ms required for real-time structural monitoring. The output dimension increases 3.3× (3 → 10 stories), adding only 0.55 ms of overhead — confirming that the dominant computational cost lies in the 1D-CNN encoder, which is independent of</w:t>
      </w:r>
      <w:r>
        <w:t xml:space="preserve"> </w:t>
      </w:r>
      <m:oMath>
        <m:r>
          <m:t>N</m:t>
        </m:r>
      </m:oMath>
      <w:r>
        <w:t xml:space="preserve">.</w:t>
      </w:r>
    </w:p>
    <w:p>
      <w:r>
        <w:pict>
          <v:rect style="width:0;height:1.5pt" o:hralign="center" o:hrstd="t" o:hr="t"/>
        </w:pict>
      </w:r>
    </w:p>
    <w:bookmarkEnd w:id="41"/>
    <w:bookmarkEnd w:id="42"/>
    <w:bookmarkStart w:id="54" w:name="discussion"/>
    <w:p>
      <w:pPr>
        <w:pStyle w:val="Heading1"/>
      </w:pPr>
      <w:r>
        <w:t xml:space="preserve">5. Discussion</w:t>
      </w:r>
    </w:p>
    <w:bookmarkStart w:id="46" w:name="interpretation-of-results"/>
    <w:p>
      <w:pPr>
        <w:pStyle w:val="Heading2"/>
      </w:pPr>
      <w:r>
        <w:t xml:space="preserve">5.1 Interpretation of Results</w:t>
      </w:r>
    </w:p>
    <w:p>
      <w:pPr>
        <w:pStyle w:val="FirstParagraph"/>
      </w:pPr>
      <w:r>
        <w:t xml:space="preserve">The Hybrid PgNN demonstrated effective predictive capability on the complete PEER NGA-West2 campaign across two building heights:</w:t>
      </w:r>
      <w:r>
        <w:t xml:space="preserve"> </w:t>
      </w:r>
      <m:oMath>
        <m:sSup>
          <m:e>
            <m:r>
              <m:t>R</m:t>
            </m:r>
          </m:e>
          <m:sup>
            <m:r>
              <m:t>2</m:t>
            </m:r>
          </m:sup>
        </m:sSup>
        <m:r>
          <m:rPr>
            <m:sty m:val="p"/>
          </m:rPr>
          <m:t>=</m:t>
        </m:r>
        <m:r>
          <m:t>0.783</m:t>
        </m:r>
      </m:oMath>
      <w:r>
        <w:t xml:space="preserve"> </w:t>
      </w:r>
      <w:r>
        <w:t xml:space="preserve">for</w:t>
      </w:r>
      <w:r>
        <w:t xml:space="preserve"> </w:t>
      </w:r>
      <m:oMath>
        <m:r>
          <m:t>N</m:t>
        </m:r>
        <m:r>
          <m:rPr>
            <m:sty m:val="p"/>
          </m:rPr>
          <m:t>=</m:t>
        </m:r>
        <m:r>
          <m:t>3</m:t>
        </m:r>
      </m:oMath>
      <w:r>
        <w:t xml:space="preserve"> </w:t>
      </w:r>
      <w:r>
        <w:t xml:space="preserve">(289 records) and</w:t>
      </w:r>
      <w:r>
        <w:t xml:space="preserve"> </w:t>
      </w:r>
      <m:oMath>
        <m:sSup>
          <m:e>
            <m:r>
              <m:t>R</m:t>
            </m:r>
          </m:e>
          <m:sup>
            <m:r>
              <m:t>2</m:t>
            </m:r>
          </m:sup>
        </m:sSup>
        <m:r>
          <m:rPr>
            <m:sty m:val="p"/>
          </m:rPr>
          <m:t>=</m:t>
        </m:r>
        <m:r>
          <m:t>0.713</m:t>
        </m:r>
      </m:oMath>
      <w:r>
        <w:t xml:space="preserve"> </w:t>
      </w:r>
      <w:r>
        <w:t xml:space="preserve">for</w:t>
      </w:r>
      <w:r>
        <w:t xml:space="preserve"> </w:t>
      </w:r>
      <m:oMath>
        <m:r>
          <m:t>N</m:t>
        </m:r>
        <m:r>
          <m:rPr>
            <m:sty m:val="p"/>
          </m:rPr>
          <m:t>=</m:t>
        </m:r>
        <m:r>
          <m:t>10</m:t>
        </m:r>
      </m:oMath>
      <w:r>
        <w:t xml:space="preserve"> </w:t>
      </w:r>
      <w:r>
        <w:t xml:space="preserve">(265 records). The model is physics-guided at three levels: (1) targets derived from OpenSeesPy NLTHA, (2) per-story inverse-variance weights from FEM response statistics, and (3) physics tensor regularization via stored</w:t>
      </w:r>
      <w:r>
        <w:t xml:space="preserve"> </w:t>
      </w:r>
      <m:oMath>
        <m:sSub>
          <m:e>
            <m:r>
              <m:t>f</m:t>
            </m:r>
          </m:e>
          <m:sub>
            <m:r>
              <m:t>i</m:t>
            </m:r>
            <m:r>
              <m:t>n</m:t>
            </m:r>
            <m:r>
              <m:t>t</m:t>
            </m:r>
          </m:sub>
        </m:sSub>
      </m:oMath>
      <w:r>
        <w:t xml:space="preserve">,</w:t>
      </w:r>
      <w:r>
        <w:t xml:space="preserve"> </w:t>
      </w:r>
      <m:oMath>
        <m:acc>
          <m:accPr>
            <m:chr m:val="̈"/>
          </m:accPr>
          <m:e>
            <m:r>
              <m:rPr>
                <m:sty m:val="bi"/>
              </m:rPr>
              <m:t>u</m:t>
            </m:r>
          </m:e>
        </m:acc>
      </m:oMath>
      <w:r>
        <w:t xml:space="preserve">,</w:t>
      </w:r>
      <w:r>
        <w:t xml:space="preserve"> </w:t>
      </w:r>
      <m:oMath>
        <m:acc>
          <m:accPr>
            <m:chr m:val="̇"/>
          </m:accPr>
          <m:e>
            <m:r>
              <m:rPr>
                <m:sty m:val="bi"/>
              </m:rPr>
              <m:t>u</m:t>
            </m:r>
          </m:e>
        </m:acc>
      </m:oMath>
      <w:r>
        <w:t xml:space="preserve"> </w:t>
      </w:r>
      <w:r>
        <w:t xml:space="preserve">tensors. This physics-data coupling acts as an inductive bias that improves generalization beyond purely data-driven baselines. The 9% drop in overall</w:t>
      </w:r>
      <w:r>
        <w:t xml:space="preserve"> </w:t>
      </w:r>
      <m:oMath>
        <m:sSup>
          <m:e>
            <m:r>
              <m:t>R</m:t>
            </m:r>
          </m:e>
          <m:sup>
            <m:r>
              <m:t>2</m:t>
            </m:r>
          </m:sup>
        </m:sSup>
      </m:oMath>
      <w:r>
        <w:t xml:space="preserve"> </w:t>
      </w:r>
      <w:r>
        <w:t xml:space="preserve">from</w:t>
      </w:r>
      <w:r>
        <w:t xml:space="preserve"> </w:t>
      </w:r>
      <m:oMath>
        <m:r>
          <m:t>N</m:t>
        </m:r>
        <m:r>
          <m:rPr>
            <m:sty m:val="p"/>
          </m:rPr>
          <m:t>=</m:t>
        </m:r>
        <m:r>
          <m:t>3</m:t>
        </m:r>
      </m:oMath>
      <w:r>
        <w:t xml:space="preserve"> </w:t>
      </w:r>
      <w:r>
        <w:t xml:space="preserve">to</w:t>
      </w:r>
      <w:r>
        <w:t xml:space="preserve"> </w:t>
      </w:r>
      <m:oMath>
        <m:r>
          <m:t>N</m:t>
        </m:r>
        <m:r>
          <m:rPr>
            <m:sty m:val="p"/>
          </m:rPr>
          <m:t>=</m:t>
        </m:r>
        <m:r>
          <m:t>10</m:t>
        </m:r>
      </m:oMath>
      <w:r>
        <w:t xml:space="preserve"> </w:t>
      </w:r>
      <w:r>
        <w:t xml:space="preserve">is consistent with the increased complexity of higher-mode dominated responses.</w:t>
      </w:r>
    </w:p>
    <w:bookmarkStart w:id="43" w:name="impact-of-architectural-improvements"/>
    <w:p>
      <w:pPr>
        <w:pStyle w:val="Heading3"/>
      </w:pPr>
      <w:r>
        <w:t xml:space="preserve">5.1.1 Impact of Architectural Improvements</w:t>
      </w:r>
    </w:p>
    <w:p>
      <w:pPr>
        <w:pStyle w:val="FirstParagraph"/>
      </w:pPr>
      <w:r>
        <w:t xml:space="preserve">The move from v1.0 to v1.6 introduced (1) Temporal Self-Attention and (2) Per-story weighted loss. The results indicate:</w:t>
      </w:r>
    </w:p>
    <w:p>
      <w:pPr>
        <w:pStyle w:val="Compact"/>
        <w:numPr>
          <w:ilvl w:val="0"/>
          <w:numId w:val="1011"/>
        </w:numPr>
      </w:pPr>
      <w:r>
        <w:rPr>
          <w:b/>
          <w:bCs/>
        </w:rPr>
        <w:t xml:space="preserve">Attention Mechanism</w:t>
      </w:r>
      <w:r>
        <w:t xml:space="preserve">: By allowing the model to attend to specific temporal phases of the ground motion (e.g., peak energy arrival), the model improved its global accuracy (+1.1%</w:t>
      </w:r>
      <w:r>
        <w:t xml:space="preserve"> </w:t>
      </w:r>
      <m:oMath>
        <m:sSup>
          <m:e>
            <m:r>
              <m:t>R</m:t>
            </m:r>
          </m:e>
          <m:sup>
            <m:r>
              <m:t>2</m:t>
            </m:r>
          </m:sup>
        </m:sSup>
      </m:oMath>
      <w:r>
        <w:t xml:space="preserve">). However, the computational cost increased by ~4x during training and ~2x during inference.</w:t>
      </w:r>
    </w:p>
    <w:p>
      <w:pPr>
        <w:pStyle w:val="Compact"/>
        <w:numPr>
          <w:ilvl w:val="0"/>
          <w:numId w:val="1011"/>
        </w:numPr>
      </w:pPr>
      <w:r>
        <w:rPr>
          <w:b/>
          <w:bCs/>
        </w:rPr>
        <w:t xml:space="preserve">Weighted Loss</w:t>
      </w:r>
      <w:r>
        <w:t xml:space="preserve">: Assigning a 2.15x weight to Story 3 (which has smaller drift amplitudes) yielded a +0.9% improvement in its</w:t>
      </w:r>
      <w:r>
        <w:t xml:space="preserve"> </w:t>
      </w:r>
      <m:oMath>
        <m:sSup>
          <m:e>
            <m:r>
              <m:t>R</m:t>
            </m:r>
          </m:e>
          <m:sup>
            <m:r>
              <m:t>2</m:t>
            </m:r>
          </m:sup>
        </m:sSup>
      </m:oMath>
      <w:r>
        <w:t xml:space="preserve">. While positive, this gain is modest compared to the weighting magnitude, suggesting that the difficulty in predicting upper-story responses is not merely an optimization imbalance, but potentially an information limit (higher modes are harder to reconstruct from base excitation alone).</w:t>
      </w:r>
    </w:p>
    <w:bookmarkEnd w:id="43"/>
    <w:bookmarkStart w:id="44" w:name="synthetic-vs.-real-data-performance"/>
    <w:p>
      <w:pPr>
        <w:pStyle w:val="Heading3"/>
      </w:pPr>
      <w:r>
        <w:t xml:space="preserve">5.1.2 Synthetic vs. Real Data Performance</w:t>
      </w:r>
    </w:p>
    <w:p>
      <w:pPr>
        <w:pStyle w:val="FirstParagraph"/>
      </w:pPr>
      <w:r>
        <w:t xml:space="preserve">The performance on real data (</w:t>
      </w:r>
      <m:oMath>
        <m:sSup>
          <m:e>
            <m:r>
              <m:t>R</m:t>
            </m:r>
          </m:e>
          <m:sup>
            <m:r>
              <m:t>2</m:t>
            </m:r>
          </m:sup>
        </m:sSup>
        <m:r>
          <m:rPr>
            <m:sty m:val="p"/>
          </m:rPr>
          <m:t>=</m:t>
        </m:r>
        <m:r>
          <m:t>0.783</m:t>
        </m:r>
      </m:oMath>
      <w:r>
        <w:t xml:space="preserve">) is now remarkably close to the synthetic baseline (</w:t>
      </w:r>
      <m:oMath>
        <m:sSup>
          <m:e>
            <m:r>
              <m:t>R</m:t>
            </m:r>
          </m:e>
          <m:sup>
            <m:r>
              <m:t>2</m:t>
            </m:r>
          </m:sup>
        </m:sSup>
        <m:r>
          <m:rPr>
            <m:sty m:val="p"/>
          </m:rPr>
          <m:t>=</m:t>
        </m:r>
        <m:r>
          <m:t>0.791</m:t>
        </m:r>
      </m:oMath>
      <w:r>
        <w:t xml:space="preserve">). This convergence suggests that the Hybrid PgNN architecture is successfully capturing the complex physics of real earthquakes, rather than just overfitting to simplified synthetic signals. The increase in dataset size (21</w:t>
      </w:r>
      <w:r>
        <w:t xml:space="preserve"> </w:t>
      </w:r>
      <m:oMath>
        <m:r>
          <m:rPr>
            <m:sty m:val="p"/>
          </m:rPr>
          <m:t>→</m:t>
        </m:r>
      </m:oMath>
      <w:r>
        <w:t xml:space="preserve"> </w:t>
      </w:r>
      <w:r>
        <w:t xml:space="preserve">289 records) was the primary driver of this robustness.</w:t>
      </w:r>
    </w:p>
    <w:bookmarkEnd w:id="44"/>
    <w:bookmarkStart w:id="45" w:name="per-story-accuracy"/>
    <w:p>
      <w:pPr>
        <w:pStyle w:val="Heading3"/>
      </w:pPr>
      <w:r>
        <w:t xml:space="preserve">5.1.3 Per-Story Accuracy</w:t>
      </w:r>
    </w:p>
    <w:p>
      <w:pPr>
        <w:pStyle w:val="FirstParagraph"/>
      </w:pPr>
      <w:r>
        <w:t xml:space="preserve">Consistent with structural dynamics theory, lower stories (dominated by the 1st mode) are predicted with higher accuracy (</w:t>
      </w:r>
      <m:oMath>
        <m:sSup>
          <m:e>
            <m:r>
              <m:t>R</m:t>
            </m:r>
          </m:e>
          <m:sup>
            <m:r>
              <m:t>2</m:t>
            </m:r>
          </m:sup>
        </m:sSup>
        <m:r>
          <m:rPr>
            <m:sty m:val="p"/>
          </m:rPr>
          <m:t>≈</m:t>
        </m:r>
        <m:r>
          <m:t>0.76</m:t>
        </m:r>
      </m:oMath>
      <w:r>
        <w:t xml:space="preserve">). The upper story (Story 3,</w:t>
      </w:r>
      <w:r>
        <w:t xml:space="preserve"> </w:t>
      </w:r>
      <m:oMath>
        <m:sSup>
          <m:e>
            <m:r>
              <m:t>R</m:t>
            </m:r>
          </m:e>
          <m:sup>
            <m:r>
              <m:t>2</m:t>
            </m:r>
          </m:sup>
        </m:sSup>
        <m:r>
          <m:rPr>
            <m:sty m:val="p"/>
          </m:rPr>
          <m:t>=</m:t>
        </m:r>
        <m:r>
          <m:t>0.55</m:t>
        </m:r>
      </m:oMath>
      <w:r>
        <w:t xml:space="preserve">) remains the most challenging. The v1.6 improvements confirm that while we can squeeze more performance out of the architecture, a fundamental gap remains for higher-mode dominated responses.</w:t>
      </w:r>
    </w:p>
    <w:bookmarkEnd w:id="45"/>
    <w:bookmarkEnd w:id="46"/>
    <w:bookmarkStart w:id="47" w:name="comparison-with-existing-methods"/>
    <w:p>
      <w:pPr>
        <w:pStyle w:val="Heading2"/>
      </w:pPr>
      <w:r>
        <w:t xml:space="preserve">5.2 Comparison with Existing Methods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Approach</w:t>
            </w:r>
          </w:p>
        </w:tc>
        <w:tc>
          <w:tcPr/>
          <w:p>
            <w:pPr>
              <w:pStyle w:val="Compact"/>
              <w:jc w:val="left"/>
            </w:pPr>
            <w:r>
              <w:t xml:space="preserve">Accuracy (</w:t>
            </w:r>
            <m:oMath>
              <m:sSup>
                <m:e>
                  <m:r>
                    <m:t>R</m:t>
                  </m:r>
                </m:e>
                <m:sup>
                  <m:r>
                    <m:t>2</m:t>
                  </m:r>
                </m:sup>
              </m:sSup>
            </m:oMath>
            <w:r>
              <w:t xml:space="preserve">)</w:t>
            </w:r>
          </w:p>
        </w:tc>
        <w:tc>
          <w:tcPr/>
          <w:p>
            <w:pPr>
              <w:pStyle w:val="Compact"/>
              <w:jc w:val="left"/>
            </w:pPr>
            <w:r>
              <w:t xml:space="preserve">Stories</w:t>
            </w:r>
          </w:p>
        </w:tc>
        <w:tc>
          <w:tcPr/>
          <w:p>
            <w:pPr>
              <w:pStyle w:val="Compact"/>
              <w:jc w:val="left"/>
            </w:pPr>
            <w:r>
              <w:t xml:space="preserve">Latency</w:t>
            </w:r>
          </w:p>
        </w:tc>
        <w:tc>
          <w:tcPr/>
          <w:p>
            <w:pPr>
              <w:pStyle w:val="Compact"/>
              <w:jc w:val="left"/>
            </w:pPr>
            <w:r>
              <w:t xml:space="preserve">Data Requirement</w:t>
            </w:r>
          </w:p>
        </w:tc>
      </w:tr>
      <w:tr>
        <w:tc>
          <w:tcPr/>
          <w:p>
            <w:pPr>
              <w:pStyle w:val="Compact"/>
              <w:jc w:val="left"/>
            </w:pPr>
            <w:r>
              <w:t xml:space="preserve">Full FEM (OpenSeesPy)</w:t>
            </w:r>
          </w:p>
        </w:tc>
        <w:tc>
          <w:tcPr/>
          <w:p>
            <w:pPr>
              <w:pStyle w:val="Compact"/>
              <w:jc w:val="left"/>
            </w:pPr>
            <w:r>
              <w:t xml:space="preserve">Reference</w:t>
            </w:r>
          </w:p>
        </w:tc>
        <w:tc>
          <w:tcPr/>
          <w:p>
            <w:pPr>
              <w:pStyle w:val="Compact"/>
              <w:jc w:val="left"/>
            </w:pPr>
            <w:r>
              <w:t xml:space="preserve">Any</w:t>
            </w:r>
          </w:p>
        </w:tc>
        <w:tc>
          <w:tcPr/>
          <w:p>
            <w:pPr>
              <w:pStyle w:val="Compact"/>
              <w:jc w:val="left"/>
            </w:pPr>
            <w:r>
              <w:t xml:space="preserve">10–40 s/record</w:t>
            </w:r>
          </w:p>
        </w:tc>
        <w:tc>
          <w:tcPr/>
          <w:p>
            <w:pPr>
              <w:pStyle w:val="Compact"/>
              <w:jc w:val="left"/>
            </w:pPr>
            <w:r>
              <w:t xml:space="preserve">N/A</w:t>
            </w:r>
          </w:p>
        </w:tc>
      </w:tr>
      <w:tr>
        <w:tc>
          <w:tcPr/>
          <w:p>
            <w:pPr>
              <w:pStyle w:val="Compact"/>
              <w:jc w:val="left"/>
            </w:pPr>
            <w:r>
              <w:t xml:space="preserve">Pure LSTM</w:t>
            </w:r>
          </w:p>
        </w:tc>
        <w:tc>
          <w:tcPr/>
          <w:p>
            <w:pPr>
              <w:pStyle w:val="Compact"/>
              <w:jc w:val="left"/>
            </w:pPr>
            <w:r>
              <w:t xml:space="preserve">0.70–0.85</w:t>
            </w:r>
          </w:p>
        </w:tc>
        <w:tc>
          <w:tcPr/>
          <w:p>
            <w:pPr>
              <w:pStyle w:val="Compact"/>
              <w:jc w:val="left"/>
            </w:pPr>
            <w:r>
              <w:t xml:space="preserve">1–3</w:t>
            </w:r>
          </w:p>
        </w:tc>
        <w:tc>
          <w:tcPr/>
          <w:p>
            <w:pPr>
              <w:pStyle w:val="Compact"/>
              <w:jc w:val="left"/>
            </w:pPr>
            <w:r>
              <w:t xml:space="preserve">~5 ms</w:t>
            </w:r>
          </w:p>
        </w:tc>
        <w:tc>
          <w:tcPr/>
          <w:p>
            <w:pPr>
              <w:pStyle w:val="Compact"/>
              <w:jc w:val="left"/>
            </w:pPr>
            <w:r>
              <w:t xml:space="preserve">1000+ records</w:t>
            </w:r>
          </w:p>
        </w:tc>
      </w:tr>
      <w:tr>
        <w:tc>
          <w:tcPr/>
          <w:p>
            <w:pPr>
              <w:pStyle w:val="Compact"/>
              <w:jc w:val="left"/>
            </w:pPr>
            <w:r>
              <w:rPr>
                <w:b/>
                <w:bCs/>
              </w:rPr>
              <w:t xml:space="preserve">Hybrid PgNN (N=3)</w:t>
            </w:r>
          </w:p>
        </w:tc>
        <w:tc>
          <w:tcPr/>
          <w:p>
            <w:pPr>
              <w:pStyle w:val="Compact"/>
              <w:jc w:val="left"/>
            </w:pPr>
            <w:r>
              <w:rPr>
                <w:b/>
                <w:bCs/>
              </w:rPr>
              <w:t xml:space="preserve">0.783</w:t>
            </w:r>
          </w:p>
        </w:tc>
        <w:tc>
          <w:tcPr/>
          <w:p>
            <w:pPr>
              <w:pStyle w:val="Compact"/>
              <w:jc w:val="left"/>
            </w:pPr>
            <w:r>
              <w:rPr>
                <w:b/>
                <w:bCs/>
              </w:rPr>
              <w:t xml:space="preserve">3</w:t>
            </w:r>
          </w:p>
        </w:tc>
        <w:tc>
          <w:tcPr/>
          <w:p>
            <w:pPr>
              <w:pStyle w:val="Compact"/>
              <w:jc w:val="left"/>
            </w:pPr>
            <w:r>
              <w:rPr>
                <w:b/>
                <w:bCs/>
              </w:rPr>
              <w:t xml:space="preserve">~2 ms</w:t>
            </w:r>
          </w:p>
        </w:tc>
        <w:tc>
          <w:tcPr/>
          <w:p>
            <w:pPr>
              <w:pStyle w:val="Compact"/>
              <w:jc w:val="left"/>
            </w:pPr>
            <w:r>
              <w:rPr>
                <w:b/>
                <w:bCs/>
              </w:rPr>
              <w:t xml:space="preserve">289 records</w:t>
            </w:r>
          </w:p>
        </w:tc>
      </w:tr>
      <w:tr>
        <w:tc>
          <w:tcPr/>
          <w:p>
            <w:pPr>
              <w:pStyle w:val="Compact"/>
              <w:jc w:val="left"/>
            </w:pPr>
            <w:r>
              <w:rPr>
                <w:b/>
                <w:bCs/>
              </w:rPr>
              <w:t xml:space="preserve">Hybrid PgNN (N=10)</w:t>
            </w:r>
          </w:p>
        </w:tc>
        <w:tc>
          <w:tcPr/>
          <w:p>
            <w:pPr>
              <w:pStyle w:val="Compact"/>
              <w:jc w:val="left"/>
            </w:pPr>
            <w:r>
              <w:rPr>
                <w:b/>
                <w:bCs/>
              </w:rPr>
              <w:t xml:space="preserve">0.713</w:t>
            </w:r>
          </w:p>
        </w:tc>
        <w:tc>
          <w:tcPr/>
          <w:p>
            <w:pPr>
              <w:pStyle w:val="Compact"/>
              <w:jc w:val="left"/>
            </w:pPr>
            <w:r>
              <w:rPr>
                <w:b/>
                <w:bCs/>
              </w:rPr>
              <w:t xml:space="preserve">10</w:t>
            </w:r>
          </w:p>
        </w:tc>
        <w:tc>
          <w:tcPr/>
          <w:p>
            <w:pPr>
              <w:pStyle w:val="Compact"/>
              <w:jc w:val="left"/>
            </w:pPr>
            <w:r>
              <w:rPr>
                <w:b/>
                <w:bCs/>
              </w:rPr>
              <w:t xml:space="preserve">~2.5 ms</w:t>
            </w:r>
          </w:p>
        </w:tc>
        <w:tc>
          <w:tcPr/>
          <w:p>
            <w:pPr>
              <w:pStyle w:val="Compact"/>
              <w:jc w:val="left"/>
            </w:pPr>
            <w:r>
              <w:rPr>
                <w:b/>
                <w:bCs/>
              </w:rPr>
              <w:t xml:space="preserve">265 records</w:t>
            </w:r>
          </w:p>
        </w:tc>
      </w:tr>
      <w:tr>
        <w:tc>
          <w:tcPr/>
          <w:p>
            <w:pPr>
              <w:pStyle w:val="Compact"/>
              <w:jc w:val="left"/>
            </w:pPr>
            <w:r>
              <w:t xml:space="preserve">Transfer Learning CNN</w:t>
            </w:r>
          </w:p>
        </w:tc>
        <w:tc>
          <w:tcPr/>
          <w:p>
            <w:pPr>
              <w:pStyle w:val="Compact"/>
              <w:jc w:val="left"/>
            </w:pPr>
            <w:r>
              <w:t xml:space="preserve">0.80–0.90</w:t>
            </w:r>
          </w:p>
        </w:tc>
        <w:tc>
          <w:tcPr/>
          <w:p>
            <w:pPr>
              <w:pStyle w:val="Compact"/>
              <w:jc w:val="left"/>
            </w:pPr>
            <w:r>
              <w:t xml:space="preserve">1–5</w:t>
            </w:r>
          </w:p>
        </w:tc>
        <w:tc>
          <w:tcPr/>
          <w:p>
            <w:pPr>
              <w:pStyle w:val="Compact"/>
              <w:jc w:val="left"/>
            </w:pPr>
            <w:r>
              <w:t xml:space="preserve">~10 ms</w:t>
            </w:r>
          </w:p>
        </w:tc>
        <w:tc>
          <w:tcPr/>
          <w:p>
            <w:pPr>
              <w:pStyle w:val="Compact"/>
              <w:jc w:val="left"/>
            </w:pPr>
            <w:r>
              <w:t xml:space="preserve">500+ records</w:t>
            </w:r>
          </w:p>
        </w:tc>
      </w:tr>
      <w:tr>
        <w:tc>
          <w:tcPr/>
          <w:p>
            <w:pPr>
              <w:pStyle w:val="Compact"/>
              <w:jc w:val="left"/>
            </w:pPr>
            <w:r>
              <w:rPr>
                <w:b/>
                <w:bCs/>
              </w:rPr>
              <w:t xml:space="preserve">PgNN Transfer (N=3→10)</w:t>
            </w:r>
          </w:p>
        </w:tc>
        <w:tc>
          <w:tcPr/>
          <w:p>
            <w:pPr>
              <w:pStyle w:val="Compact"/>
              <w:jc w:val="left"/>
            </w:pPr>
            <w:r>
              <w:rPr>
                <w:b/>
                <w:bCs/>
              </w:rPr>
              <w:t xml:space="preserve">0.700</w:t>
            </w:r>
          </w:p>
        </w:tc>
        <w:tc>
          <w:tcPr/>
          <w:p>
            <w:pPr>
              <w:pStyle w:val="Compact"/>
              <w:jc w:val="left"/>
            </w:pPr>
            <w:r>
              <w:rPr>
                <w:b/>
                <w:bCs/>
              </w:rPr>
              <w:t xml:space="preserve">10</w:t>
            </w:r>
          </w:p>
        </w:tc>
        <w:tc>
          <w:tcPr/>
          <w:p>
            <w:pPr>
              <w:pStyle w:val="Compact"/>
              <w:jc w:val="left"/>
            </w:pPr>
            <w:r>
              <w:rPr>
                <w:b/>
                <w:bCs/>
              </w:rPr>
              <w:t xml:space="preserve">~2.5 ms</w:t>
            </w:r>
          </w:p>
        </w:tc>
        <w:tc>
          <w:tcPr/>
          <w:p>
            <w:pPr>
              <w:pStyle w:val="Compact"/>
              <w:jc w:val="left"/>
            </w:pPr>
            <w:r>
              <w:rPr>
                <w:b/>
                <w:bCs/>
              </w:rPr>
              <w:t xml:space="preserve">0 new encoder training</w:t>
            </w:r>
          </w:p>
        </w:tc>
      </w:tr>
    </w:tbl>
    <w:p>
      <w:pPr>
        <w:pStyle w:val="BodyText"/>
      </w:pPr>
      <w:r>
        <w:t xml:space="preserve">The comparison warrants careful interpretation. Methods reporting</w:t>
      </w:r>
      <w:r>
        <w:t xml:space="preserve"> </w:t>
      </w:r>
      <m:oMath>
        <m:sSup>
          <m:e>
            <m:r>
              <m:t>R</m:t>
            </m:r>
          </m:e>
          <m:sup>
            <m:r>
              <m:t>2</m:t>
            </m:r>
          </m:sup>
        </m:sSup>
        <m:r>
          <m:rPr>
            <m:sty m:val="p"/>
          </m:rPr>
          <m:t>&gt;</m:t>
        </m:r>
        <m:r>
          <m:t>0.85</m:t>
        </m:r>
      </m:oMath>
      <w:r>
        <w:t xml:space="preserve"> </w:t>
      </w:r>
      <w:r>
        <w:t xml:space="preserve">typically</w:t>
      </w:r>
      <w:r>
        <w:t xml:space="preserve"> </w:t>
      </w:r>
      <w:r>
        <w:t xml:space="preserve">train on 1,000+ records from single building configurations (1–3 stories), whereas the</w:t>
      </w:r>
      <w:r>
        <w:t xml:space="preserve"> </w:t>
      </w:r>
      <w:r>
        <w:t xml:space="preserve">present study uses 289 records for</w:t>
      </w:r>
      <w:r>
        <w:t xml:space="preserve"> </w:t>
      </w:r>
      <m:oMath>
        <m:r>
          <m:t>N</m:t>
        </m:r>
        <m:r>
          <m:rPr>
            <m:sty m:val="p"/>
          </m:rPr>
          <m:t>=</m:t>
        </m:r>
        <m:r>
          <m:t>3</m:t>
        </m:r>
      </m:oMath>
      <w:r>
        <w:t xml:space="preserve"> </w:t>
      </w:r>
      <w:r>
        <w:t xml:space="preserve">and 265 for</w:t>
      </w:r>
      <w:r>
        <w:t xml:space="preserve"> </w:t>
      </w:r>
      <m:oMath>
        <m:r>
          <m:t>N</m:t>
        </m:r>
        <m:r>
          <m:rPr>
            <m:sty m:val="p"/>
          </m:rPr>
          <m:t>=</m:t>
        </m:r>
        <m:r>
          <m:t>10</m:t>
        </m:r>
      </m:oMath>
      <w:r>
        <w:t xml:space="preserve"> </w:t>
      </w:r>
      <w:r>
        <w:t xml:space="preserve">— a 3–4</w:t>
      </w:r>
      <m:oMath>
        <m:r>
          <m:rPr>
            <m:sty m:val="p"/>
          </m:rPr>
          <m:t>×</m:t>
        </m:r>
      </m:oMath>
      <w:r>
        <w:t xml:space="preserve"> </w:t>
      </w:r>
      <w:r>
        <w:t xml:space="preserve">smaller</w:t>
      </w:r>
      <w:r>
        <w:t xml:space="preserve"> </w:t>
      </w:r>
      <w:r>
        <w:t xml:space="preserve">training set. Moreover, most prior work evaluates on synthetic ground motions, while</w:t>
      </w:r>
      <w:r>
        <w:t xml:space="preserve"> </w:t>
      </w:r>
      <w:r>
        <w:t xml:space="preserve">the PgNN is validated exclusively on real PEER NGA-West2 records with their full spectral</w:t>
      </w:r>
      <w:r>
        <w:t xml:space="preserve"> </w:t>
      </w:r>
      <w:r>
        <w:t xml:space="preserve">variability. When normalized by data efficiency (accuracy per training record), the PgNN</w:t>
      </w:r>
      <w:r>
        <w:t xml:space="preserve"> </w:t>
      </w:r>
      <w:r>
        <w:t xml:space="preserve">shows a favorable trade-off:</w:t>
      </w:r>
      <w:r>
        <w:t xml:space="preserve"> </w:t>
      </w:r>
      <m:oMath>
        <m:sSup>
          <m:e>
            <m:r>
              <m:t>R</m:t>
            </m:r>
          </m:e>
          <m:sup>
            <m:r>
              <m:t>2</m:t>
            </m:r>
          </m:sup>
        </m:sSup>
        <m:r>
          <m:rPr>
            <m:sty m:val="p"/>
          </m:rPr>
          <m:t>=</m:t>
        </m:r>
        <m:r>
          <m:t>0.783</m:t>
        </m:r>
      </m:oMath>
      <w:r>
        <w:t xml:space="preserve"> </w:t>
      </w:r>
      <w:r>
        <w:t xml:space="preserve">with 289 records versus</w:t>
      </w:r>
      <w:r>
        <w:t xml:space="preserve"> </w:t>
      </w:r>
      <m:oMath>
        <m:sSup>
          <m:e>
            <m:r>
              <m:t>R</m:t>
            </m:r>
          </m:e>
          <m:sup>
            <m:r>
              <m:t>2</m:t>
            </m:r>
          </m:sup>
        </m:sSup>
        <m:r>
          <m:rPr>
            <m:sty m:val="p"/>
          </m:rPr>
          <m:t>≈</m:t>
        </m:r>
        <m:r>
          <m:t>0.85</m:t>
        </m:r>
      </m:oMath>
      <w:r>
        <w:t xml:space="preserve"> </w:t>
      </w:r>
      <w:r>
        <w:t xml:space="preserve">with 1,000+ records. The 50</w:t>
      </w:r>
      <m:oMath>
        <m:r>
          <m:rPr>
            <m:sty m:val="p"/>
          </m:rPr>
          <m:t>×</m:t>
        </m:r>
      </m:oMath>
      <w:r>
        <w:t xml:space="preserve"> </w:t>
      </w:r>
      <w:r>
        <w:t xml:space="preserve">lower inference latency (~2 ms vs. ~10–100 ms)</w:t>
      </w:r>
      <w:r>
        <w:t xml:space="preserve"> </w:t>
      </w:r>
      <w:r>
        <w:t xml:space="preserve">further differentiates the approach for time-critical deployment. The transfer learning</w:t>
      </w:r>
      <w:r>
        <w:t xml:space="preserve"> </w:t>
      </w:r>
      <w:r>
        <w:t xml:space="preserve">variant achieves 98.2% of full-training accuracy with zero additional encoder training,</w:t>
      </w:r>
      <w:r>
        <w:t xml:space="preserve"> </w:t>
      </w:r>
      <w:r>
        <w:t xml:space="preserve">demonstrating domain-invariant feature extraction across building heights.</w:t>
      </w:r>
    </w:p>
    <w:bookmarkEnd w:id="47"/>
    <w:bookmarkStart w:id="48" w:name="practical-implications"/>
    <w:p>
      <w:pPr>
        <w:pStyle w:val="Heading2"/>
      </w:pPr>
      <w:r>
        <w:t xml:space="preserve">5.3 Practical Implications</w:t>
      </w:r>
    </w:p>
    <w:p>
      <w:pPr>
        <w:pStyle w:val="FirstParagraph"/>
      </w:pPr>
      <w:r>
        <w:t xml:space="preserve">The benchmarking results (Section 4.8) confirm low-latency inference (~2 ms), enabling:</w:t>
      </w:r>
    </w:p>
    <w:p>
      <w:pPr>
        <w:pStyle w:val="Compact"/>
        <w:numPr>
          <w:ilvl w:val="0"/>
          <w:numId w:val="1012"/>
        </w:numPr>
      </w:pPr>
      <w:r>
        <w:rPr>
          <w:b/>
          <w:bCs/>
        </w:rPr>
        <w:t xml:space="preserve">Real-Time Damage Assessment</w:t>
      </w:r>
      <w:r>
        <w:t xml:space="preserve">: Immediate post-earthquake evaluation of drift demands.</w:t>
      </w:r>
    </w:p>
    <w:p>
      <w:pPr>
        <w:pStyle w:val="Compact"/>
        <w:numPr>
          <w:ilvl w:val="0"/>
          <w:numId w:val="1012"/>
        </w:numPr>
      </w:pPr>
      <w:r>
        <w:rPr>
          <w:b/>
          <w:bCs/>
        </w:rPr>
        <w:t xml:space="preserve">Structural Control</w:t>
      </w:r>
      <w:r>
        <w:t xml:space="preserve">: Semi-active damper actuation with minimal control loop lag.</w:t>
      </w:r>
    </w:p>
    <w:p>
      <w:pPr>
        <w:pStyle w:val="Compact"/>
        <w:numPr>
          <w:ilvl w:val="0"/>
          <w:numId w:val="1012"/>
        </w:numPr>
      </w:pPr>
      <w:r>
        <w:rPr>
          <w:b/>
          <w:bCs/>
        </w:rPr>
        <w:t xml:space="preserve">Edge Deployment</w:t>
      </w:r>
      <w:r>
        <w:t xml:space="preserve">: CPU-based performance suggests feasibility on low-cost embedded hardware, although the attention layer adds memory overhead compared to the pure CNN baseline.</w:t>
      </w:r>
    </w:p>
    <w:bookmarkEnd w:id="48"/>
    <w:bookmarkStart w:id="52" w:name="Xdbe4151f501ae1041162465d4a0b4cc75960719"/>
    <w:p>
      <w:pPr>
        <w:pStyle w:val="Heading2"/>
      </w:pPr>
      <w:r>
        <w:t xml:space="preserve">5.4 Scalability and the Whiplash Effect in Tall Buildings</w:t>
      </w:r>
    </w:p>
    <w:p>
      <w:pPr>
        <w:pStyle w:val="FirstParagraph"/>
      </w:pPr>
      <w:r>
        <w:t xml:space="preserve">The extension to</w:t>
      </w:r>
      <w:r>
        <w:t xml:space="preserve"> </w:t>
      </w:r>
      <m:oMath>
        <m:r>
          <m:t>N</m:t>
        </m:r>
        <m:r>
          <m:rPr>
            <m:sty m:val="p"/>
          </m:rPr>
          <m:t>=</m:t>
        </m:r>
        <m:r>
          <m:t>10</m:t>
        </m:r>
      </m:oMath>
      <w:r>
        <w:t xml:space="preserve"> </w:t>
      </w:r>
      <w:r>
        <w:t xml:space="preserve">stories introduces structural dynamics phenomena qualitatively absent in</w:t>
      </w:r>
      <w:r>
        <w:t xml:space="preserve"> </w:t>
      </w:r>
      <w:r>
        <w:t xml:space="preserve">low-rise configurations. This section discusses the expected performance profile of the Hybrid PgNN</w:t>
      </w:r>
      <w:r>
        <w:t xml:space="preserve"> </w:t>
      </w:r>
      <w:r>
        <w:t xml:space="preserve">for tall RC frames and the role of the FEM-guided loss in addressing these challenges.</w:t>
      </w:r>
    </w:p>
    <w:bookmarkStart w:id="49" w:name="higher-mode-dominance"/>
    <w:p>
      <w:pPr>
        <w:pStyle w:val="Heading3"/>
      </w:pPr>
      <w:r>
        <w:t xml:space="preserve">5.4.1 Higher-Mode Dominance</w:t>
      </w:r>
    </w:p>
    <w:p>
      <w:pPr>
        <w:pStyle w:val="FirstParagraph"/>
      </w:pPr>
      <w:r>
        <w:t xml:space="preserve">In a 10-story RC frame with</w:t>
      </w:r>
      <w:r>
        <w:t xml:space="preserve"> </w:t>
      </w:r>
      <m:oMath>
        <m:sSub>
          <m:e>
            <m:r>
              <m:t>T</m:t>
            </m:r>
          </m:e>
          <m:sub>
            <m:r>
              <m:t>1</m:t>
            </m:r>
          </m:sub>
        </m:sSub>
        <m:r>
          <m:rPr>
            <m:sty m:val="p"/>
          </m:rPr>
          <m:t>≈</m:t>
        </m:r>
        <m:r>
          <m:t>1.8</m:t>
        </m:r>
      </m:oMath>
      <w:r>
        <w:t xml:space="preserve"> </w:t>
      </w:r>
      <w:r>
        <w:t xml:space="preserve">s, modes 2 and 3 (</w:t>
      </w:r>
      <m:oMath>
        <m:sSub>
          <m:e>
            <m:r>
              <m:t>T</m:t>
            </m:r>
          </m:e>
          <m:sub>
            <m:r>
              <m:t>2</m:t>
            </m:r>
          </m:sub>
        </m:sSub>
        <m:r>
          <m:rPr>
            <m:sty m:val="p"/>
          </m:rPr>
          <m:t>≈</m:t>
        </m:r>
        <m:r>
          <m:t>0.6</m:t>
        </m:r>
      </m:oMath>
      <w:r>
        <w:t xml:space="preserve"> </w:t>
      </w:r>
      <w:r>
        <w:t xml:space="preserve">s,</w:t>
      </w:r>
      <w:r>
        <w:t xml:space="preserve"> </w:t>
      </w:r>
      <m:oMath>
        <m:sSub>
          <m:e>
            <m:r>
              <m:t>T</m:t>
            </m:r>
          </m:e>
          <m:sub>
            <m:r>
              <m:t>3</m:t>
            </m:r>
          </m:sub>
        </m:sSub>
        <m:r>
          <m:rPr>
            <m:sty m:val="p"/>
          </m:rPr>
          <m:t>≈</m:t>
        </m:r>
        <m:r>
          <m:t>0.35</m:t>
        </m:r>
      </m:oMath>
      <w:r>
        <w:t xml:space="preserve"> </w:t>
      </w:r>
      <w:r>
        <w:t xml:space="preserve">s) carry approximately 35–40% of the total seismic mass participation.</w:t>
      </w:r>
      <w:r>
        <w:t xml:space="preserve"> </w:t>
      </w:r>
      <w:r>
        <w:t xml:space="preserve">For near-field records (short</w:t>
      </w:r>
      <w:r>
        <w:t xml:space="preserve"> </w:t>
      </w:r>
      <m:oMath>
        <m:sSub>
          <m:e>
            <m:r>
              <m:t>T</m:t>
            </m:r>
          </m:e>
          <m:sub>
            <m:r>
              <m:t>p</m:t>
            </m:r>
          </m:sub>
        </m:sSub>
      </m:oMath>
      <w:r>
        <w:t xml:space="preserve">) or records with dominant energy above 1 Hz, upper floors</w:t>
      </w:r>
      <w:r>
        <w:t xml:space="preserve"> </w:t>
      </w:r>
      <w:r>
        <w:t xml:space="preserve">can experience spectral accelerations 2–4× greater than what first-mode response alone would predict</w:t>
      </w:r>
      <w:r>
        <w:t xml:space="preserve"> </w:t>
      </w:r>
      <w:r>
        <w:t xml:space="preserve">[8]. This is the physical origin of the</w:t>
      </w:r>
      <w:r>
        <w:t xml:space="preserve"> </w:t>
      </w:r>
      <w:r>
        <w:rPr>
          <w:b/>
          <w:bCs/>
        </w:rPr>
        <w:t xml:space="preserve">whiplash effect</w:t>
      </w:r>
      <w:r>
        <w:t xml:space="preserve">: the roof (</w:t>
      </w:r>
      <m:oMath>
        <m:r>
          <m:t>j</m:t>
        </m:r>
        <m:r>
          <m:rPr>
            <m:sty m:val="p"/>
          </m:rPr>
          <m:t>=</m:t>
        </m:r>
        <m:r>
          <m:t>10</m:t>
        </m:r>
      </m:oMath>
      <w:r>
        <w:t xml:space="preserve">) may sustain higher</w:t>
      </w:r>
      <w:r>
        <w:t xml:space="preserve"> </w:t>
      </w:r>
      <w:r>
        <w:t xml:space="preserve">drift demands than floors 4–7, inverting the monotonic drift profile assumed in simplified analyses.</w:t>
      </w:r>
    </w:p>
    <w:bookmarkEnd w:id="49"/>
    <w:bookmarkStart w:id="50" w:name="X7d8b5fc37703eb1a9e06b9e6163e7c9b8eecd82"/>
    <w:p>
      <w:pPr>
        <w:pStyle w:val="Heading3"/>
      </w:pPr>
      <w:r>
        <w:t xml:space="preserve">5.4.2 Role of the FEM-Guided Loss for Tall Buildings</w:t>
      </w:r>
    </w:p>
    <w:p>
      <w:pPr>
        <w:pStyle w:val="FirstParagraph"/>
      </w:pPr>
      <w:r>
        <w:t xml:space="preserve">For</w:t>
      </w:r>
      <w:r>
        <w:t xml:space="preserve"> </w:t>
      </w:r>
      <m:oMath>
        <m:r>
          <m:t>N</m:t>
        </m:r>
        <m:r>
          <m:rPr>
            <m:sty m:val="p"/>
          </m:rPr>
          <m:t>=</m:t>
        </m:r>
        <m:r>
          <m:t>3</m:t>
        </m:r>
      </m:oMath>
      <w:r>
        <w:t xml:space="preserve">, the physics loss (</w:t>
      </w:r>
      <m:oMath>
        <m:sSub>
          <m:e>
            <m:r>
              <m:rPr>
                <m:scr m:val="script"/>
                <m:sty m:val="p"/>
              </m:rPr>
              <m:t>L</m:t>
            </m:r>
          </m:e>
          <m:sub>
            <m:r>
              <m:t>p</m:t>
            </m:r>
            <m:r>
              <m:t>h</m:t>
            </m:r>
            <m:r>
              <m:t>y</m:t>
            </m:r>
          </m:sub>
        </m:sSub>
        <m:r>
          <m:rPr>
            <m:sty m:val="p"/>
          </m:rPr>
          <m:t>∼</m:t>
        </m:r>
        <m:sSup>
          <m:e>
            <m:r>
              <m:t>10</m:t>
            </m:r>
          </m:e>
          <m:sup>
            <m:r>
              <m:rPr>
                <m:sty m:val="p"/>
              </m:rPr>
              <m:t>−</m:t>
            </m:r>
            <m:r>
              <m:t>10</m:t>
            </m:r>
          </m:sup>
        </m:sSup>
      </m:oMath>
      <w:r>
        <w:t xml:space="preserve">) acts primarily as a low-pass</w:t>
      </w:r>
      <w:r>
        <w:t xml:space="preserve"> </w:t>
      </w:r>
      <w:r>
        <w:t xml:space="preserve">regularizer — replacing traditional stochastic regularization such as dropout [26] —</w:t>
      </w:r>
      <w:r>
        <w:t xml:space="preserve"> </w:t>
      </w:r>
      <w:r>
        <w:t xml:space="preserve">smoothing prediction noise without significantly shaping the response shape.</w:t>
      </w:r>
      <w:r>
        <w:t xml:space="preserve"> </w:t>
      </w:r>
      <w:r>
        <w:t xml:space="preserve">For</w:t>
      </w:r>
      <w:r>
        <w:t xml:space="preserve"> </w:t>
      </w:r>
      <m:oMath>
        <m:r>
          <m:t>N</m:t>
        </m:r>
        <m:r>
          <m:rPr>
            <m:sty m:val="p"/>
          </m:rPr>
          <m:t>=</m:t>
        </m:r>
        <m:r>
          <m:t>10</m:t>
        </m:r>
      </m:oMath>
      <w:r>
        <w:t xml:space="preserve">, the physics loss becomes structurally more informative because:</w:t>
      </w:r>
    </w:p>
    <w:p>
      <w:pPr>
        <w:numPr>
          <w:ilvl w:val="0"/>
          <w:numId w:val="1013"/>
        </w:numPr>
      </w:pPr>
      <w:r>
        <w:rPr>
          <w:b/>
          <w:bCs/>
        </w:rPr>
        <w:t xml:space="preserve">Modal orthogonality enforcement</w:t>
      </w:r>
      <w:r>
        <w:t xml:space="preserve">: The equation of motion residual</w:t>
      </w:r>
      <w:r>
        <w:t xml:space="preserve"> </w:t>
      </w:r>
      <m:oMath>
        <m:r>
          <m:rPr>
            <m:sty m:val="bi"/>
          </m:rPr>
          <m:t>M</m:t>
        </m:r>
        <m:sSub>
          <m:e>
            <m:acc>
              <m:accPr>
                <m:chr m:val="̈"/>
              </m:accPr>
              <m:e>
                <m:r>
                  <m:t>u</m:t>
                </m:r>
              </m:e>
            </m:acc>
          </m:e>
          <m:sub>
            <m:r>
              <m:t>p</m:t>
            </m:r>
            <m:r>
              <m:t>r</m:t>
            </m:r>
            <m:r>
              <m:t>e</m:t>
            </m:r>
            <m:r>
              <m:t>d</m:t>
            </m:r>
          </m:sub>
        </m:sSub>
        <m:r>
          <m:rPr>
            <m:sty m:val="p"/>
          </m:rPr>
          <m:t>+</m:t>
        </m:r>
        <m:r>
          <m:rPr>
            <m:sty m:val="bi"/>
          </m:rPr>
          <m:t>C</m:t>
        </m:r>
        <m:sSub>
          <m:e>
            <m:acc>
              <m:accPr>
                <m:chr m:val="̇"/>
              </m:accPr>
              <m:e>
                <m:r>
                  <m:t>u</m:t>
                </m:r>
              </m:e>
            </m:acc>
          </m:e>
          <m:sub>
            <m:r>
              <m:t>p</m:t>
            </m:r>
            <m:r>
              <m:t>r</m:t>
            </m:r>
            <m:r>
              <m:t>e</m:t>
            </m:r>
            <m:r>
              <m:t>d</m:t>
            </m:r>
          </m:sub>
        </m:sSub>
        <m:r>
          <m:rPr>
            <m:sty m:val="p"/>
          </m:rPr>
          <m:t>+</m:t>
        </m:r>
        <m:sSub>
          <m:e>
            <m:r>
              <m:t>f</m:t>
            </m:r>
          </m:e>
          <m:sub>
            <m:r>
              <m:t>i</m:t>
            </m:r>
            <m:r>
              <m:t>n</m:t>
            </m:r>
            <m:r>
              <m:t>t</m:t>
            </m:r>
          </m:sub>
        </m:sSub>
        <m:r>
          <m:rPr>
            <m:sty m:val="p"/>
          </m:rPr>
          <m:t>(</m:t>
        </m:r>
        <m:sSub>
          <m:e>
            <m:r>
              <m:t>u</m:t>
            </m:r>
          </m:e>
          <m:sub>
            <m:r>
              <m:t>t</m:t>
            </m:r>
            <m:r>
              <m:t>r</m:t>
            </m:r>
            <m:r>
              <m:t>u</m:t>
            </m:r>
            <m:r>
              <m:t>e</m:t>
            </m:r>
          </m:sub>
        </m:sSub>
        <m:r>
          <m:rPr>
            <m:sty m:val="p"/>
          </m:rPr>
          <m:t>)</m:t>
        </m:r>
      </m:oMath>
      <w:r>
        <w:t xml:space="preserve"> </w:t>
      </w:r>
      <w:r>
        <w:t xml:space="preserve">implicitly encodes inter-story coupling through the tri-diagonal mass and stiffness matrices.</w:t>
      </w:r>
      <w:r>
        <w:t xml:space="preserve"> </w:t>
      </w:r>
      <w:r>
        <w:t xml:space="preserve">This penalizes predictions where upper-story responses are kinematically inconsistent with</w:t>
      </w:r>
      <w:r>
        <w:t xml:space="preserve"> </w:t>
      </w:r>
      <w:r>
        <w:t xml:space="preserve">lower-story kinematics, effectively enforcing a physically plausible</w:t>
      </w:r>
      <w:r>
        <w:t xml:space="preserve"> </w:t>
      </w:r>
      <w:r>
        <w:t xml:space="preserve">“whiplash profile.”</w:t>
      </w:r>
    </w:p>
    <w:p>
      <w:pPr>
        <w:numPr>
          <w:ilvl w:val="0"/>
          <w:numId w:val="1013"/>
        </w:numPr>
      </w:pPr>
      <w:r>
        <w:rPr>
          <w:b/>
          <w:bCs/>
        </w:rPr>
        <w:t xml:space="preserve">Boundary condition loss as anti-drift</w:t>
      </w:r>
      <w:r>
        <w:t xml:space="preserve">: The initial condition penalty</w:t>
      </w:r>
      <w:r>
        <w:t xml:space="preserve"> </w:t>
      </w:r>
      <m:oMath>
        <m:sSub>
          <m:e>
            <m:r>
              <m:rPr>
                <m:scr m:val="script"/>
                <m:sty m:val="p"/>
              </m:rPr>
              <m:t>L</m:t>
            </m:r>
          </m:e>
          <m:sub>
            <m:r>
              <m:t>b</m:t>
            </m:r>
            <m:r>
              <m:t>c</m:t>
            </m:r>
          </m:sub>
        </m:sSub>
        <m:r>
          <m:rPr>
            <m:sty m:val="p"/>
          </m:rPr>
          <m:t>=</m:t>
        </m:r>
        <m:r>
          <m:rPr>
            <m:sty m:val="p"/>
          </m:rPr>
          <m:t>∥</m:t>
        </m:r>
        <m:r>
          <m:t>u</m:t>
        </m:r>
        <m:r>
          <m:rPr>
            <m:sty m:val="p"/>
          </m:rPr>
          <m:t>(</m:t>
        </m:r>
        <m:r>
          <m:t>0</m:t>
        </m:r>
        <m:r>
          <m:rPr>
            <m:sty m:val="p"/>
          </m:rPr>
          <m:t>)</m:t>
        </m:r>
        <m:sSup>
          <m:e>
            <m:r>
              <m:rPr>
                <m:sty m:val="p"/>
              </m:rPr>
              <m:t>∥</m:t>
            </m:r>
          </m:e>
          <m:sup>
            <m:r>
              <m:t>2</m:t>
            </m:r>
          </m:sup>
        </m:sSup>
        <m:r>
          <m:rPr>
            <m:sty m:val="p"/>
          </m:rPr>
          <m:t>+</m:t>
        </m:r>
        <m:r>
          <m:rPr>
            <m:sty m:val="p"/>
          </m:rPr>
          <m:t>∥</m:t>
        </m:r>
        <m:acc>
          <m:accPr>
            <m:chr m:val="̇"/>
          </m:accPr>
          <m:e>
            <m:r>
              <m:t>u</m:t>
            </m:r>
          </m:e>
        </m:acc>
        <m:r>
          <m:rPr>
            <m:sty m:val="p"/>
          </m:rPr>
          <m:t>(</m:t>
        </m:r>
        <m:r>
          <m:t>0</m:t>
        </m:r>
        <m:r>
          <m:rPr>
            <m:sty m:val="p"/>
          </m:rPr>
          <m:t>)</m:t>
        </m:r>
        <m:sSup>
          <m:e>
            <m:r>
              <m:rPr>
                <m:sty m:val="p"/>
              </m:rPr>
              <m:t>∥</m:t>
            </m:r>
          </m:e>
          <m:sup>
            <m:r>
              <m:t>2</m:t>
            </m:r>
          </m:sup>
        </m:sSup>
      </m:oMath>
      <w:r>
        <w:t xml:space="preserve"> </w:t>
      </w:r>
      <w:r>
        <w:t xml:space="preserve">prevents the network from introducing</w:t>
      </w:r>
      <w:r>
        <w:t xml:space="preserve"> </w:t>
      </w:r>
      <w:r>
        <w:t xml:space="preserve">spurious pre-event displacement offsets, which are more likely in tall buildings where the</w:t>
      </w:r>
      <w:r>
        <w:t xml:space="preserve"> </w:t>
      </w:r>
      <w:r>
        <w:t xml:space="preserve">static equilibrium under gravity (modeled via</w:t>
      </w:r>
      <w:r>
        <w:t xml:space="preserve"> </w:t>
      </w:r>
      <m:oMath>
        <m:sSub>
          <m:e>
            <m:r>
              <m:t>f</m:t>
            </m:r>
          </m:e>
          <m:sub>
            <m:r>
              <m:t>i</m:t>
            </m:r>
            <m:r>
              <m:t>n</m:t>
            </m:r>
            <m:r>
              <m:t>t</m:t>
            </m:r>
          </m:sub>
        </m:sSub>
      </m:oMath>
      <w:r>
        <w:t xml:space="preserve">) is larger.</w:t>
      </w:r>
    </w:p>
    <w:p>
      <w:pPr>
        <w:numPr>
          <w:ilvl w:val="0"/>
          <w:numId w:val="1013"/>
        </w:numPr>
      </w:pPr>
      <w:r>
        <w:rPr>
          <w:b/>
          <w:bCs/>
        </w:rPr>
        <w:t xml:space="preserve">f_int as teacher forcing for upper floors</w:t>
      </w:r>
      <w:r>
        <w:t xml:space="preserve">: Since</w:t>
      </w:r>
      <w:r>
        <w:t xml:space="preserve"> </w:t>
      </w:r>
      <m:oMath>
        <m:sSub>
          <m:e>
            <m:r>
              <m:t>f</m:t>
            </m:r>
          </m:e>
          <m:sub>
            <m:r>
              <m:t>i</m:t>
            </m:r>
            <m:r>
              <m:t>n</m:t>
            </m:r>
            <m:r>
              <m:t>t</m:t>
            </m:r>
          </m:sub>
        </m:sSub>
      </m:oMath>
      <w:r>
        <w:t xml:space="preserve"> </w:t>
      </w:r>
      <w:r>
        <w:t xml:space="preserve">from OpenSeesPy encodes the</w:t>
      </w:r>
      <w:r>
        <w:t xml:space="preserve"> </w:t>
      </w:r>
      <w:r>
        <w:t xml:space="preserve">nonlinear hysteretic behavior at each fiber section, it provides the network with implicit</w:t>
      </w:r>
      <w:r>
        <w:t xml:space="preserve"> </w:t>
      </w:r>
      <w:r>
        <w:t xml:space="preserve">information about where yielding occurs along the height. Upper-floor predictions that violate</w:t>
      </w:r>
      <w:r>
        <w:t xml:space="preserve"> </w:t>
      </w:r>
      <w:r>
        <w:t xml:space="preserve">equilibrium with the provided</w:t>
      </w:r>
      <w:r>
        <w:t xml:space="preserve"> </w:t>
      </w:r>
      <m:oMath>
        <m:sSub>
          <m:e>
            <m:r>
              <m:t>f</m:t>
            </m:r>
          </m:e>
          <m:sub>
            <m:r>
              <m:t>i</m:t>
            </m:r>
            <m:r>
              <m:t>n</m:t>
            </m:r>
            <m:r>
              <m:t>t</m:t>
            </m:r>
          </m:sub>
        </m:sSub>
      </m:oMath>
      <w:r>
        <w:t xml:space="preserve"> </w:t>
      </w:r>
      <w:r>
        <w:t xml:space="preserve">profile are directly penalized, guiding the network</w:t>
      </w:r>
      <w:r>
        <w:t xml:space="preserve"> </w:t>
      </w:r>
      <w:r>
        <w:t xml:space="preserve">toward the physically correct whiplash distribution.</w:t>
      </w:r>
    </w:p>
    <w:bookmarkEnd w:id="50"/>
    <w:bookmarkStart w:id="51" w:name="X3eee86c11656fa3080cee7e95851283eed2290f"/>
    <w:p>
      <w:pPr>
        <w:pStyle w:val="Heading3"/>
      </w:pPr>
      <w:r>
        <w:t xml:space="preserve">5.4.3 Measured Per-Story Accuracy Profile for N=10</w:t>
      </w:r>
    </w:p>
    <w:p>
      <w:pPr>
        <w:pStyle w:val="FirstParagraph"/>
      </w:pPr>
      <w:r>
        <w:t xml:space="preserve">The measured per-story</w:t>
      </w:r>
      <w:r>
        <w:t xml:space="preserve"> </w:t>
      </w:r>
      <m:oMath>
        <m:sSup>
          <m:e>
            <m:r>
              <m:t>R</m:t>
            </m:r>
          </m:e>
          <m:sup>
            <m:r>
              <m:t>2</m:t>
            </m:r>
          </m:sup>
        </m:sSup>
      </m:oMath>
      <w:r>
        <w:t xml:space="preserve"> </w:t>
      </w:r>
      <w:r>
        <w:t xml:space="preserve">profile (Table 8) reveals a monotonic accuracy degradation</w:t>
      </w:r>
      <w:r>
        <w:t xml:space="preserve"> </w:t>
      </w:r>
      <w:r>
        <w:t xml:space="preserve">from the base (</w:t>
      </w:r>
      <m:oMath>
        <m:sSup>
          <m:e>
            <m:r>
              <m:t>R</m:t>
            </m:r>
          </m:e>
          <m:sup>
            <m:r>
              <m:t>2</m:t>
            </m:r>
          </m:sup>
        </m:sSup>
        <m:r>
          <m:rPr>
            <m:sty m:val="p"/>
          </m:rPr>
          <m:t>=</m:t>
        </m:r>
        <m:r>
          <m:t>0.754</m:t>
        </m:r>
      </m:oMath>
      <w:r>
        <w:t xml:space="preserve">) to the roof (</w:t>
      </w:r>
      <m:oMath>
        <m:sSup>
          <m:e>
            <m:r>
              <m:t>R</m:t>
            </m:r>
          </m:e>
          <m:sup>
            <m:r>
              <m:t>2</m:t>
            </m:r>
          </m:sup>
        </m:sSup>
        <m:r>
          <m:rPr>
            <m:sty m:val="p"/>
          </m:rPr>
          <m:t>=</m:t>
        </m:r>
        <m:r>
          <m:t>0.601</m:t>
        </m:r>
      </m:oMath>
      <w:r>
        <w:t xml:space="preserve">), with a total span of</w:t>
      </w:r>
      <w:r>
        <w:t xml:space="preserve"> </w:t>
      </w:r>
      <m:oMath>
        <m:r>
          <m:rPr>
            <m:sty m:val="p"/>
          </m:rPr>
          <m:t>Δ</m:t>
        </m:r>
        <m:sSup>
          <m:e>
            <m:r>
              <m:t>R</m:t>
            </m:r>
          </m:e>
          <m:sup>
            <m:r>
              <m:t>2</m:t>
            </m:r>
          </m:sup>
        </m:sSup>
        <m:r>
          <m:rPr>
            <m:sty m:val="p"/>
          </m:rPr>
          <m:t>=</m:t>
        </m:r>
        <m:r>
          <m:t>0.153</m:t>
        </m:r>
      </m:oMath>
      <w:r>
        <w:t xml:space="preserve">. This profile differs from the initially hypothesized U-shape:</w:t>
      </w:r>
    </w:p>
    <w:p>
      <w:pPr>
        <w:pStyle w:val="Compact"/>
        <w:numPr>
          <w:ilvl w:val="0"/>
          <w:numId w:val="1014"/>
        </w:numPr>
      </w:pPr>
      <w:r>
        <w:rPr>
          <w:b/>
          <w:bCs/>
        </w:rPr>
        <w:t xml:space="preserve">Floors 1–4</w:t>
      </w:r>
      <w:r>
        <w:t xml:space="preserve">: High accuracy (</w:t>
      </w:r>
      <m:oMath>
        <m:sSup>
          <m:e>
            <m:r>
              <m:t>R</m:t>
            </m:r>
          </m:e>
          <m:sup>
            <m:r>
              <m:t>2</m:t>
            </m:r>
          </m:sup>
        </m:sSup>
        <m:r>
          <m:rPr>
            <m:sty m:val="p"/>
          </m:rPr>
          <m:t>=</m:t>
        </m:r>
        <m:r>
          <m:t>0.70</m:t>
        </m:r>
      </m:oMath>
      <w:r>
        <w:t xml:space="preserve">–</w:t>
      </w:r>
      <m:oMath>
        <m:r>
          <m:t>0.75</m:t>
        </m:r>
      </m:oMath>
      <w:r>
        <w:t xml:space="preserve">), dominated by first-mode response</w:t>
      </w:r>
      <w:r>
        <w:t xml:space="preserve"> </w:t>
      </w:r>
      <w:r>
        <w:t xml:space="preserve">well-captured by the CNN encoder’s low-frequency features.</w:t>
      </w:r>
    </w:p>
    <w:p>
      <w:pPr>
        <w:pStyle w:val="Compact"/>
        <w:numPr>
          <w:ilvl w:val="0"/>
          <w:numId w:val="1014"/>
        </w:numPr>
      </w:pPr>
      <w:r>
        <w:rPr>
          <w:b/>
          <w:bCs/>
        </w:rPr>
        <w:t xml:space="preserve">Floors 5–7</w:t>
      </w:r>
      <w:r>
        <w:t xml:space="preserve">: Transition zone (</w:t>
      </w:r>
      <m:oMath>
        <m:sSup>
          <m:e>
            <m:r>
              <m:t>R</m:t>
            </m:r>
          </m:e>
          <m:sup>
            <m:r>
              <m:t>2</m:t>
            </m:r>
          </m:sup>
        </m:sSup>
        <m:r>
          <m:rPr>
            <m:sty m:val="p"/>
          </m:rPr>
          <m:t>=</m:t>
        </m:r>
        <m:r>
          <m:t>0.64</m:t>
        </m:r>
      </m:oMath>
      <w:r>
        <w:t xml:space="preserve">–</w:t>
      </w:r>
      <m:oMath>
        <m:r>
          <m:t>0.67</m:t>
        </m:r>
      </m:oMath>
      <w:r>
        <w:t xml:space="preserve">), where higher-mode contributions</w:t>
      </w:r>
      <w:r>
        <w:t xml:space="preserve"> </w:t>
      </w:r>
      <w:r>
        <w:t xml:space="preserve">begin to dominate, degrading prediction accuracy.</w:t>
      </w:r>
    </w:p>
    <w:p>
      <w:pPr>
        <w:pStyle w:val="Compact"/>
        <w:numPr>
          <w:ilvl w:val="0"/>
          <w:numId w:val="1014"/>
        </w:numPr>
      </w:pPr>
      <w:r>
        <w:rPr>
          <w:b/>
          <w:bCs/>
        </w:rPr>
        <w:t xml:space="preserve">Floors 8–10</w:t>
      </w:r>
      <w:r>
        <w:t xml:space="preserve"> </w:t>
      </w:r>
      <w:r>
        <w:t xml:space="preserve">(whiplash zone): Lowest accuracy (</w:t>
      </w:r>
      <m:oMath>
        <m:sSup>
          <m:e>
            <m:r>
              <m:t>R</m:t>
            </m:r>
          </m:e>
          <m:sup>
            <m:r>
              <m:t>2</m:t>
            </m:r>
          </m:sup>
        </m:sSup>
        <m:r>
          <m:rPr>
            <m:sty m:val="p"/>
          </m:rPr>
          <m:t>=</m:t>
        </m:r>
        <m:r>
          <m:t>0.60</m:t>
        </m:r>
      </m:oMath>
      <w:r>
        <w:t xml:space="preserve">–</w:t>
      </w:r>
      <m:oMath>
        <m:r>
          <m:t>0.64</m:t>
        </m:r>
      </m:oMath>
      <w:r>
        <w:t xml:space="preserve">), but notably</w:t>
      </w:r>
      <w:r>
        <w:t xml:space="preserve"> </w:t>
      </w:r>
      <w:r>
        <w:t xml:space="preserve">better than the predicted</w:t>
      </w:r>
      <w:r>
        <w:t xml:space="preserve"> </w:t>
      </w:r>
      <m:oMath>
        <m:sSup>
          <m:e>
            <m:r>
              <m:t>R</m:t>
            </m:r>
          </m:e>
          <m:sup>
            <m:r>
              <m:t>2</m:t>
            </m:r>
          </m:sup>
        </m:sSup>
        <m:r>
          <m:rPr>
            <m:sty m:val="p"/>
          </m:rPr>
          <m:t>&lt;</m:t>
        </m:r>
        <m:r>
          <m:t>0.55</m:t>
        </m:r>
      </m:oMath>
      <w:r>
        <w:t xml:space="preserve">. Story 8 shows a slight</w:t>
      </w:r>
      <w:r>
        <w:t xml:space="preserve"> </w:t>
      </w:r>
      <m:oMath>
        <m:sSup>
          <m:e>
            <m:r>
              <m:t>R</m:t>
            </m:r>
          </m:e>
          <m:sup>
            <m:r>
              <m:t>2</m:t>
            </m:r>
          </m:sup>
        </m:sSup>
      </m:oMath>
      <w:r>
        <w:t xml:space="preserve"> </w:t>
      </w:r>
      <w:r>
        <w:t xml:space="preserve">recovery (0.642</w:t>
      </w:r>
      <w:r>
        <w:t xml:space="preserve"> </w:t>
      </w:r>
      <w:r>
        <w:t xml:space="preserve">vs. 0.636 at Story 7), which we attribute to the strong inverse-variance weighting</w:t>
      </w:r>
      <w:r>
        <w:t xml:space="preserve"> </w:t>
      </w:r>
      <w:r>
        <w:t xml:space="preserve">(</w:t>
      </w:r>
      <m:oMath>
        <m:sSub>
          <m:e>
            <m:r>
              <m:t>w</m:t>
            </m:r>
          </m:e>
          <m:sub>
            <m:r>
              <m:t>10</m:t>
            </m:r>
          </m:sub>
        </m:sSub>
        <m:r>
          <m:rPr>
            <m:sty m:val="p"/>
          </m:rPr>
          <m:t>=</m:t>
        </m:r>
        <m:r>
          <m:t>2.65</m:t>
        </m:r>
        <m:r>
          <m:rPr>
            <m:sty m:val="p"/>
          </m:rPr>
          <m:t>×</m:t>
        </m:r>
      </m:oMath>
      <w:r>
        <w:t xml:space="preserve">) concentrating gradient signal on upper stories.</w:t>
      </w:r>
    </w:p>
    <w:p>
      <w:pPr>
        <w:pStyle w:val="FirstParagraph"/>
      </w:pPr>
      <w:r>
        <w:t xml:space="preserve">The absence of a U-shaped recovery at the roof suggests that the whiplash zone presents a</w:t>
      </w:r>
      <w:r>
        <w:t xml:space="preserve"> </w:t>
      </w:r>
      <w:r>
        <w:t xml:space="preserve">monotonic challenge rather than a localized dip. The temporal attention mechanism partially</w:t>
      </w:r>
      <w:r>
        <w:t xml:space="preserve"> </w:t>
      </w:r>
      <w:r>
        <w:t xml:space="preserve">compensates by attending to different frequency components of the ground motion; however,</w:t>
      </w:r>
      <w:r>
        <w:t xml:space="preserve"> </w:t>
      </w:r>
      <w:r>
        <w:t xml:space="preserve">a fundamental information limit remains: single-channel base acceleration cannot fully</w:t>
      </w:r>
      <w:r>
        <w:t xml:space="preserve"> </w:t>
      </w:r>
      <w:r>
        <w:t xml:space="preserve">reconstruct higher-mode responses without additional spectral or velocity features.</w:t>
      </w:r>
    </w:p>
    <w:p>
      <w:pPr>
        <w:pStyle w:val="BodyText"/>
      </w:pPr>
      <w:r>
        <w:t xml:space="preserve">This motivates two complementary future directions: (1) incorporating response spectra</w:t>
      </w:r>
      <w:r>
        <w:t xml:space="preserve"> </w:t>
      </w:r>
      <m:oMath>
        <m:sSub>
          <m:e>
            <m:r>
              <m:t>S</m:t>
            </m:r>
          </m:e>
          <m:sub>
            <m:r>
              <m:t>a</m:t>
            </m:r>
          </m:sub>
        </m:sSub>
        <m:r>
          <m:rPr>
            <m:sty m:val="p"/>
          </m:rPr>
          <m:t>(</m:t>
        </m:r>
        <m:sSub>
          <m:e>
            <m:r>
              <m:t>T</m:t>
            </m:r>
          </m:e>
          <m:sub>
            <m:r>
              <m:t>n</m:t>
            </m:r>
          </m:sub>
        </m:sSub>
        <m:r>
          <m:rPr>
            <m:sty m:val="p"/>
          </m:rPr>
          <m:t>)</m:t>
        </m:r>
      </m:oMath>
      <w:r>
        <w:t xml:space="preserve"> </w:t>
      </w:r>
      <w:r>
        <w:t xml:space="preserve">at the first three modal periods as additional input features; and (2) implementing</w:t>
      </w:r>
      <w:r>
        <w:t xml:space="preserve"> </w:t>
      </w:r>
      <w:r>
        <w:t xml:space="preserve">a modal response spectrum regularizer — a differentiable physics constraint relating predicted</w:t>
      </w:r>
      <w:r>
        <w:t xml:space="preserve"> </w:t>
      </w:r>
      <w:r>
        <w:t xml:space="preserve">peak IDR to spectral demands</w:t>
      </w:r>
      <w:r>
        <w:t xml:space="preserve"> </w:t>
      </w:r>
      <m:oMath>
        <m:sSub>
          <m:e>
            <m:r>
              <m:t>S</m:t>
            </m:r>
          </m:e>
          <m:sub>
            <m:r>
              <m:t>d</m:t>
            </m:r>
          </m:sub>
        </m:sSub>
        <m:r>
          <m:rPr>
            <m:sty m:val="p"/>
          </m:rPr>
          <m:t>(</m:t>
        </m:r>
        <m:sSub>
          <m:e>
            <m:r>
              <m:t>T</m:t>
            </m:r>
          </m:e>
          <m:sub>
            <m:r>
              <m:t>n</m:t>
            </m:r>
          </m:sub>
        </m:sSub>
        <m:r>
          <m:rPr>
            <m:sty m:val="p"/>
          </m:rPr>
          <m:t>)</m:t>
        </m:r>
      </m:oMath>
      <w:r>
        <w:t xml:space="preserve"> </w:t>
      </w:r>
      <w:r>
        <w:t xml:space="preserve">via modal participation factors — which would extend</w:t>
      </w:r>
      <w:r>
        <w:t xml:space="preserve"> </w:t>
      </w:r>
      <w:r>
        <w:t xml:space="preserve">the current PgNN toward a full Physics-Informed Neural Network (PINN) formulation, consistent</w:t>
      </w:r>
      <w:r>
        <w:t xml:space="preserve"> </w:t>
      </w:r>
      <w:r>
        <w:t xml:space="preserve">with recent advances in physics-informed surrogate modeling for structural dynamics [29].</w:t>
      </w:r>
    </w:p>
    <w:bookmarkEnd w:id="51"/>
    <w:bookmarkEnd w:id="52"/>
    <w:bookmarkStart w:id="53" w:name="limitations"/>
    <w:p>
      <w:pPr>
        <w:pStyle w:val="Heading2"/>
      </w:pPr>
      <w:r>
        <w:t xml:space="preserve">5.5 Limitations</w:t>
      </w:r>
    </w:p>
    <w:p>
      <w:pPr>
        <w:pStyle w:val="Compact"/>
        <w:numPr>
          <w:ilvl w:val="0"/>
          <w:numId w:val="1015"/>
        </w:numPr>
      </w:pPr>
      <w:r>
        <w:rPr>
          <w:b/>
          <w:bCs/>
        </w:rPr>
        <w:t xml:space="preserve">Upper-Story Prediction (Information Limit)</w:t>
      </w:r>
      <w:r>
        <w:t xml:space="preserve">: For</w:t>
      </w:r>
      <w:r>
        <w:t xml:space="preserve"> </w:t>
      </w:r>
      <m:oMath>
        <m:r>
          <m:t>N</m:t>
        </m:r>
        <m:r>
          <m:rPr>
            <m:sty m:val="p"/>
          </m:rPr>
          <m:t>=</m:t>
        </m:r>
        <m:r>
          <m:t>3</m:t>
        </m:r>
      </m:oMath>
      <w:r>
        <w:t xml:space="preserve">, Story 3 accuracy (</w:t>
      </w:r>
      <m:oMath>
        <m:sSup>
          <m:e>
            <m:r>
              <m:t>R</m:t>
            </m:r>
          </m:e>
          <m:sup>
            <m:r>
              <m:t>2</m:t>
            </m:r>
          </m:sup>
        </m:sSup>
        <m:r>
          <m:rPr>
            <m:sty m:val="p"/>
          </m:rPr>
          <m:t>=</m:t>
        </m:r>
        <m:r>
          <m:t>0.55</m:t>
        </m:r>
      </m:oMath>
      <w:r>
        <w:t xml:space="preserve">) lags behind lower stories; for</w:t>
      </w:r>
      <w:r>
        <w:t xml:space="preserve"> </w:t>
      </w:r>
      <m:oMath>
        <m:r>
          <m:t>N</m:t>
        </m:r>
        <m:r>
          <m:rPr>
            <m:sty m:val="p"/>
          </m:rPr>
          <m:t>=</m:t>
        </m:r>
        <m:r>
          <m:t>10</m:t>
        </m:r>
      </m:oMath>
      <w:r>
        <w:t xml:space="preserve">, the whiplash zone (Floors 8–10) achieves</w:t>
      </w:r>
      <w:r>
        <w:t xml:space="preserve"> </w:t>
      </w:r>
      <m:oMath>
        <m:sSup>
          <m:e>
            <m:r>
              <m:t>R</m:t>
            </m:r>
          </m:e>
          <m:sup>
            <m:r>
              <m:t>2</m:t>
            </m:r>
          </m:sup>
        </m:sSup>
        <m:r>
          <m:rPr>
            <m:sty m:val="p"/>
          </m:rPr>
          <m:t>=</m:t>
        </m:r>
        <m:r>
          <m:t>0.60</m:t>
        </m:r>
      </m:oMath>
      <w:r>
        <w:t xml:space="preserve">–</w:t>
      </w:r>
      <m:oMath>
        <m:r>
          <m:t>0.64</m:t>
        </m:r>
      </m:oMath>
      <w:r>
        <w:t xml:space="preserve">. The fundamental constraint is that single-channel base acceleration cannot fully reconstruct higher-mode responses. Future work should incorporate response spectra</w:t>
      </w:r>
      <w:r>
        <w:t xml:space="preserve"> </w:t>
      </w:r>
      <m:oMath>
        <m:sSub>
          <m:e>
            <m:r>
              <m:t>S</m:t>
            </m:r>
          </m:e>
          <m:sub>
            <m:r>
              <m:t>a</m:t>
            </m:r>
          </m:sub>
        </m:sSub>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w:r>
        <w:t xml:space="preserve"> </w:t>
      </w:r>
      <w:r>
        <w:t xml:space="preserve">or ground velocity as supplementary inputs.</w:t>
      </w:r>
    </w:p>
    <w:p>
      <w:pPr>
        <w:pStyle w:val="Compact"/>
        <w:numPr>
          <w:ilvl w:val="0"/>
          <w:numId w:val="1015"/>
        </w:numPr>
      </w:pPr>
      <w:r>
        <w:rPr>
          <w:b/>
          <w:bCs/>
        </w:rPr>
        <w:t xml:space="preserve">Whiplash Zone Accuracy</w:t>
      </w:r>
      <w:r>
        <w:t xml:space="preserve">: For</w:t>
      </w:r>
      <w:r>
        <w:t xml:space="preserve"> </w:t>
      </w:r>
      <m:oMath>
        <m:r>
          <m:t>N</m:t>
        </m:r>
        <m:r>
          <m:rPr>
            <m:sty m:val="p"/>
          </m:rPr>
          <m:t>=</m:t>
        </m:r>
        <m:r>
          <m:t>10</m:t>
        </m:r>
      </m:oMath>
      <w:r>
        <w:t xml:space="preserve">, floors 8–10 show</w:t>
      </w:r>
      <w:r>
        <w:t xml:space="preserve"> </w:t>
      </w:r>
      <m:oMath>
        <m:sSup>
          <m:e>
            <m:r>
              <m:t>R</m:t>
            </m:r>
          </m:e>
          <m:sup>
            <m:r>
              <m:t>2</m:t>
            </m:r>
          </m:sup>
        </m:sSup>
        <m:r>
          <m:rPr>
            <m:sty m:val="p"/>
          </m:rPr>
          <m:t>≈</m:t>
        </m:r>
        <m:r>
          <m:t>0.61</m:t>
        </m:r>
      </m:oMath>
      <w:r>
        <w:t xml:space="preserve">–</w:t>
      </w:r>
      <m:oMath>
        <m:r>
          <m:t>0.64</m:t>
        </m:r>
      </m:oMath>
      <w:r>
        <w:t xml:space="preserve"> </w:t>
      </w:r>
      <w:r>
        <w:t xml:space="preserve">— reduced relative to lower stories but above the initially predicted</w:t>
      </w:r>
      <w:r>
        <w:t xml:space="preserve"> </w:t>
      </w:r>
      <m:oMath>
        <m:sSup>
          <m:e>
            <m:r>
              <m:t>R</m:t>
            </m:r>
          </m:e>
          <m:sup>
            <m:r>
              <m:t>2</m:t>
            </m:r>
          </m:sup>
        </m:sSup>
        <m:r>
          <m:rPr>
            <m:sty m:val="p"/>
          </m:rPr>
          <m:t>&lt;</m:t>
        </m:r>
        <m:r>
          <m:t>0.55</m:t>
        </m:r>
      </m:oMath>
      <w:r>
        <w:t xml:space="preserve">, indicating that the inverse-variance weighting partially compensates the higher-mode information gap.</w:t>
      </w:r>
    </w:p>
    <w:p>
      <w:pPr>
        <w:pStyle w:val="Compact"/>
        <w:numPr>
          <w:ilvl w:val="0"/>
          <w:numId w:val="1015"/>
        </w:numPr>
      </w:pPr>
      <w:r>
        <w:rPr>
          <w:b/>
          <w:bCs/>
        </w:rPr>
        <w:t xml:space="preserve">Fixed Sections (Low-Rise)</w:t>
      </w:r>
      <w:r>
        <w:t xml:space="preserve">: The 3-story validation uses uniform column sections. The N=10 campaign implements tapering cross-sections (700→500 mm), partially addressing this for mid-rise; ultra-tall frames (</w:t>
      </w:r>
      <m:oMath>
        <m:r>
          <m:t>N</m:t>
        </m:r>
        <m:r>
          <m:rPr>
            <m:sty m:val="p"/>
          </m:rPr>
          <m:t>&gt;</m:t>
        </m:r>
        <m:r>
          <m:t>15</m:t>
        </m:r>
      </m:oMath>
      <w:r>
        <w:t xml:space="preserve">) remain outside the current scope.</w:t>
      </w:r>
    </w:p>
    <w:p>
      <w:pPr>
        <w:pStyle w:val="Compact"/>
        <w:numPr>
          <w:ilvl w:val="0"/>
          <w:numId w:val="1015"/>
        </w:numPr>
      </w:pPr>
      <w:r>
        <w:rPr>
          <w:b/>
          <w:bCs/>
        </w:rPr>
        <w:t xml:space="preserve">2D Simplification</w:t>
      </w:r>
      <w:r>
        <w:t xml:space="preserve">: Torsional effects and bidirectional ground motion components are not captured in the planar frame model.</w:t>
      </w:r>
    </w:p>
    <w:p>
      <w:pPr>
        <w:pStyle w:val="Compact"/>
        <w:numPr>
          <w:ilvl w:val="0"/>
          <w:numId w:val="1015"/>
        </w:numPr>
      </w:pPr>
      <w:r>
        <w:rPr>
          <w:b/>
          <w:bCs/>
        </w:rPr>
        <w:t xml:space="preserve">Material Model Specificity</w:t>
      </w:r>
      <w:r>
        <w:t xml:space="preserve">: The OpenSeesPy model assumes Concrete02 (Mander confinement) and Steel02 (Giuffré-Menegotto-Pinto) hysteresis rules; experimental shake table validation would strengthen the digital twin claim for alternative material systems.</w:t>
      </w:r>
    </w:p>
    <w:p>
      <w:r>
        <w:pict>
          <v:rect style="width:0;height:1.5pt" o:hralign="center" o:hrstd="t" o:hr="t"/>
        </w:pict>
      </w:r>
    </w:p>
    <w:bookmarkEnd w:id="53"/>
    <w:bookmarkEnd w:id="54"/>
    <w:bookmarkStart w:id="58" w:name="conclusions"/>
    <w:p>
      <w:pPr>
        <w:pStyle w:val="Heading1"/>
      </w:pPr>
      <w:r>
        <w:t xml:space="preserve">6. Conclusions</w:t>
      </w:r>
    </w:p>
    <w:bookmarkStart w:id="55" w:name="key-findings"/>
    <w:p>
      <w:pPr>
        <w:pStyle w:val="Heading2"/>
      </w:pPr>
      <w:r>
        <w:t xml:space="preserve">6.1 Key Findings</w:t>
      </w:r>
    </w:p>
    <w:p>
      <w:pPr>
        <w:pStyle w:val="FirstParagraph"/>
      </w:pPr>
      <w:r>
        <w:t xml:space="preserve">This study developed and validated a Hybrid Digital Twin framework for seismic response prediction of</w:t>
      </w:r>
      <w:r>
        <w:t xml:space="preserve"> </w:t>
      </w:r>
      <w:r>
        <w:t xml:space="preserve">reinforced concrete buildings, demonstrating its viability with the complete PEER NGA-West2 dataset</w:t>
      </w:r>
      <w:r>
        <w:t xml:space="preserve"> </w:t>
      </w:r>
      <w:r>
        <w:t xml:space="preserve">across multiple building heights (</w:t>
      </w:r>
      <m:oMath>
        <m:r>
          <m:t>N</m:t>
        </m:r>
        <m:r>
          <m:rPr>
            <m:sty m:val="p"/>
          </m:rPr>
          <m:t>=</m:t>
        </m:r>
        <m:r>
          <m:t>3</m:t>
        </m:r>
      </m:oMath>
      <w:r>
        <w:t xml:space="preserve"> </w:t>
      </w:r>
      <w:r>
        <w:t xml:space="preserve">and</w:t>
      </w:r>
      <w:r>
        <w:t xml:space="preserve"> </w:t>
      </w:r>
      <m:oMath>
        <m:r>
          <m:t>N</m:t>
        </m:r>
        <m:r>
          <m:rPr>
            <m:sty m:val="p"/>
          </m:rPr>
          <m:t>=</m:t>
        </m:r>
        <m:r>
          <m:t>10</m:t>
        </m:r>
      </m:oMath>
      <w:r>
        <w:t xml:space="preserve"> </w:t>
      </w:r>
      <w:r>
        <w:t xml:space="preserve">stories).</w:t>
      </w:r>
    </w:p>
    <w:p>
      <w:pPr>
        <w:numPr>
          <w:ilvl w:val="0"/>
          <w:numId w:val="1016"/>
        </w:numPr>
      </w:pPr>
      <w:r>
        <w:rPr>
          <w:b/>
          <w:bCs/>
        </w:rPr>
        <w:t xml:space="preserve">Physics-Guided Accuracy (N=3)</w:t>
      </w:r>
      <w:r>
        <w:t xml:space="preserve">: The PgNN v1.6 model achieved</w:t>
      </w:r>
      <w:r>
        <w:t xml:space="preserve"> </w:t>
      </w:r>
      <m:oMath>
        <m:sSup>
          <m:e>
            <m:r>
              <m:t>R</m:t>
            </m:r>
          </m:e>
          <m:sup>
            <m:r>
              <m:t>2</m:t>
            </m:r>
          </m:sup>
        </m:sSup>
        <m:r>
          <m:rPr>
            <m:sty m:val="p"/>
          </m:rPr>
          <m:t>=</m:t>
        </m:r>
        <m:r>
          <m:t>0.783</m:t>
        </m:r>
      </m:oMath>
      <w:r>
        <w:t xml:space="preserve"> </w:t>
      </w:r>
      <w:r>
        <w:t xml:space="preserve">on the complete</w:t>
      </w:r>
      <w:r>
        <w:t xml:space="preserve"> </w:t>
      </w:r>
      <w:r>
        <w:t xml:space="preserve">PEER campaign (289 valid records, 5,058 augmented samples), with an RMSE of 0.834%.</w:t>
      </w:r>
      <w:r>
        <w:t xml:space="preserve"> </w:t>
      </w:r>
      <w:r>
        <w:t xml:space="preserve">Temporal self-attention and per-story inverse-variance weighting improved performance by</w:t>
      </w:r>
      <w:r>
        <w:t xml:space="preserve"> </w:t>
      </w:r>
      <w:r>
        <w:t xml:space="preserve">+1.1% over the CNN baseline. The physics loss (</w:t>
      </w:r>
      <m:oMath>
        <m:sSub>
          <m:e>
            <m:r>
              <m:rPr>
                <m:scr m:val="script"/>
                <m:sty m:val="p"/>
              </m:rPr>
              <m:t>L</m:t>
            </m:r>
          </m:e>
          <m:sub>
            <m:r>
              <m:t>p</m:t>
            </m:r>
            <m:r>
              <m:t>h</m:t>
            </m:r>
            <m:r>
              <m:t>y</m:t>
            </m:r>
          </m:sub>
        </m:sSub>
        <m:r>
          <m:rPr>
            <m:sty m:val="p"/>
          </m:rPr>
          <m:t>∼</m:t>
        </m:r>
        <m:sSup>
          <m:e>
            <m:r>
              <m:t>10</m:t>
            </m:r>
          </m:e>
          <m:sup>
            <m:r>
              <m:rPr>
                <m:sty m:val="p"/>
              </m:rPr>
              <m:t>−</m:t>
            </m:r>
            <m:r>
              <m:t>10</m:t>
            </m:r>
          </m:sup>
        </m:sSup>
      </m:oMath>
      <w:r>
        <w:t xml:space="preserve">) acted as</w:t>
      </w:r>
      <w:r>
        <w:t xml:space="preserve"> </w:t>
      </w:r>
      <w:r>
        <w:t xml:space="preserve">an inductive bias, constraining predictions to dynamically consistent solutions.</w:t>
      </w:r>
    </w:p>
    <w:p>
      <w:pPr>
        <w:numPr>
          <w:ilvl w:val="0"/>
          <w:numId w:val="1016"/>
        </w:numPr>
      </w:pPr>
      <w:r>
        <w:rPr>
          <w:b/>
          <w:bCs/>
        </w:rPr>
        <w:t xml:space="preserve">Parametric Scalability (N=10)</w:t>
      </w:r>
      <w:r>
        <w:t xml:space="preserve">: The framework was extended to a 10-story, 3-bay RC frame with</w:t>
      </w:r>
      <w:r>
        <w:t xml:space="preserve"> </w:t>
      </w:r>
      <w:r>
        <w:t xml:space="preserve">tapering cross-sections (</w:t>
      </w:r>
      <m:oMath>
        <m:sSup>
          <m:e>
            <m:r>
              <m:t>700</m:t>
            </m:r>
          </m:e>
          <m:sup>
            <m:r>
              <m:t>2</m:t>
            </m:r>
          </m:sup>
        </m:sSup>
        <m:r>
          <m:rPr>
            <m:sty m:val="p"/>
          </m:rPr>
          <m:t>→</m:t>
        </m:r>
        <m:sSup>
          <m:e>
            <m:r>
              <m:t>500</m:t>
            </m:r>
          </m:e>
          <m:sup>
            <m:r>
              <m:t>2</m:t>
            </m:r>
          </m:sup>
        </m:sSup>
      </m:oMath>
      <w:r>
        <w:t xml:space="preserve"> </w:t>
      </w:r>
      <w:r>
        <w:t xml:space="preserve">mm), achieving</w:t>
      </w:r>
      <w:r>
        <w:t xml:space="preserve"> </w:t>
      </w:r>
      <m:oMath>
        <m:sSup>
          <m:e>
            <m:r>
              <m:t>R</m:t>
            </m:r>
          </m:e>
          <m:sup>
            <m:r>
              <m:t>2</m:t>
            </m:r>
          </m:sup>
        </m:sSup>
        <m:r>
          <m:rPr>
            <m:sty m:val="p"/>
          </m:rPr>
          <m:t>=</m:t>
        </m:r>
        <m:r>
          <m:t>0.713</m:t>
        </m:r>
      </m:oMath>
      <w:r>
        <w:t xml:space="preserve"> </w:t>
      </w:r>
      <w:r>
        <w:t xml:space="preserve">and RMSE</w:t>
      </w:r>
      <w:r>
        <w:t xml:space="preserve"> </w:t>
      </w:r>
      <m:oMath>
        <m:r>
          <m:rPr>
            <m:sty m:val="p"/>
          </m:rPr>
          <m:t>=</m:t>
        </m:r>
        <m:r>
          <m:t>0.523</m:t>
        </m:r>
        <m:r>
          <m:rPr>
            <m:sty m:val="p"/>
          </m:rPr>
          <m:t>%</m:t>
        </m:r>
      </m:oMath>
      <w:r>
        <w:t xml:space="preserve"> </w:t>
      </w:r>
      <w:r>
        <w:t xml:space="preserve">on 265 PEER records (4,626 augmented samples) without architectural modification. The</w:t>
      </w:r>
      <w:r>
        <w:t xml:space="preserve"> </w:t>
      </w:r>
      <w:r>
        <w:t xml:space="preserve">five-strategy NLTHA convergence cascade achieved 88.6% success on the 299-record PEER campaign.</w:t>
      </w:r>
    </w:p>
    <w:p>
      <w:pPr>
        <w:numPr>
          <w:ilvl w:val="0"/>
          <w:numId w:val="1016"/>
        </w:numPr>
      </w:pPr>
      <w:r>
        <w:rPr>
          <w:b/>
          <w:bCs/>
        </w:rPr>
        <w:t xml:space="preserve">Whiplash Effect Characterization</w:t>
      </w:r>
      <w:r>
        <w:t xml:space="preserve">: For</w:t>
      </w:r>
      <w:r>
        <w:t xml:space="preserve"> </w:t>
      </w:r>
      <m:oMath>
        <m:r>
          <m:t>N</m:t>
        </m:r>
        <m:r>
          <m:rPr>
            <m:sty m:val="p"/>
          </m:rPr>
          <m:t>=</m:t>
        </m:r>
        <m:r>
          <m:t>10</m:t>
        </m:r>
      </m:oMath>
      <w:r>
        <w:t xml:space="preserve">, the measured per-story</w:t>
      </w:r>
      <w:r>
        <w:t xml:space="preserve"> </w:t>
      </w:r>
      <m:oMath>
        <m:sSup>
          <m:e>
            <m:r>
              <m:t>R</m:t>
            </m:r>
          </m:e>
          <m:sup>
            <m:r>
              <m:t>2</m:t>
            </m:r>
          </m:sup>
        </m:sSup>
      </m:oMath>
      <w:r>
        <w:t xml:space="preserve"> </w:t>
      </w:r>
      <w:r>
        <w:t xml:space="preserve">profile exhibits</w:t>
      </w:r>
      <w:r>
        <w:t xml:space="preserve"> </w:t>
      </w:r>
      <w:r>
        <w:t xml:space="preserve">a monotonic decrease from</w:t>
      </w:r>
      <w:r>
        <w:t xml:space="preserve"> </w:t>
      </w:r>
      <m:oMath>
        <m:sSup>
          <m:e>
            <m:r>
              <m:t>R</m:t>
            </m:r>
          </m:e>
          <m:sup>
            <m:r>
              <m:t>2</m:t>
            </m:r>
          </m:sup>
        </m:sSup>
        <m:r>
          <m:rPr>
            <m:sty m:val="p"/>
          </m:rPr>
          <m:t>=</m:t>
        </m:r>
        <m:r>
          <m:t>0.754</m:t>
        </m:r>
      </m:oMath>
      <w:r>
        <w:t xml:space="preserve"> </w:t>
      </w:r>
      <w:r>
        <w:t xml:space="preserve">(Story 1) to</w:t>
      </w:r>
      <w:r>
        <w:t xml:space="preserve"> </w:t>
      </w:r>
      <m:oMath>
        <m:sSup>
          <m:e>
            <m:r>
              <m:t>R</m:t>
            </m:r>
          </m:e>
          <m:sup>
            <m:r>
              <m:t>2</m:t>
            </m:r>
          </m:sup>
        </m:sSup>
        <m:r>
          <m:rPr>
            <m:sty m:val="p"/>
          </m:rPr>
          <m:t>=</m:t>
        </m:r>
        <m:r>
          <m:t>0.601</m:t>
        </m:r>
      </m:oMath>
      <w:r>
        <w:t xml:space="preserve"> </w:t>
      </w:r>
      <w:r>
        <w:t xml:space="preserve">(Story 10), with a total</w:t>
      </w:r>
      <w:r>
        <w:t xml:space="preserve"> </w:t>
      </w:r>
      <w:r>
        <w:t xml:space="preserve">accuracy span of</w:t>
      </w:r>
      <w:r>
        <w:t xml:space="preserve"> </w:t>
      </w:r>
      <m:oMath>
        <m:r>
          <m:rPr>
            <m:sty m:val="p"/>
          </m:rPr>
          <m:t>Δ</m:t>
        </m:r>
        <m:sSup>
          <m:e>
            <m:r>
              <m:t>R</m:t>
            </m:r>
          </m:e>
          <m:sup>
            <m:r>
              <m:t>2</m:t>
            </m:r>
          </m:sup>
        </m:sSup>
        <m:r>
          <m:rPr>
            <m:sty m:val="p"/>
          </m:rPr>
          <m:t>=</m:t>
        </m:r>
        <m:r>
          <m:t>0.153</m:t>
        </m:r>
      </m:oMath>
      <w:r>
        <w:t xml:space="preserve">. The FEM-guided inverse-variance weighting (</w:t>
      </w:r>
      <m:oMath>
        <m:sSub>
          <m:e>
            <m:r>
              <m:t>w</m:t>
            </m:r>
          </m:e>
          <m:sub>
            <m:r>
              <m:t>10</m:t>
            </m:r>
          </m:sub>
        </m:sSub>
        <m:r>
          <m:rPr>
            <m:sty m:val="p"/>
          </m:rPr>
          <m:t>=</m:t>
        </m:r>
        <m:r>
          <m:t>2.65</m:t>
        </m:r>
        <m:r>
          <m:rPr>
            <m:sty m:val="p"/>
          </m:rPr>
          <m:t>×</m:t>
        </m:r>
      </m:oMath>
      <w:r>
        <w:t xml:space="preserve">)</w:t>
      </w:r>
      <w:r>
        <w:t xml:space="preserve"> </w:t>
      </w:r>
      <w:r>
        <w:t xml:space="preserve">partially mitigates accuracy degradation in the whiplash zone (Floors 8–10), achieving</w:t>
      </w:r>
      <w:r>
        <w:t xml:space="preserve"> </w:t>
      </w:r>
      <m:oMath>
        <m:sSup>
          <m:e>
            <m:r>
              <m:t>R</m:t>
            </m:r>
          </m:e>
          <m:sup>
            <m:r>
              <m:t>2</m:t>
            </m:r>
          </m:sup>
        </m:sSup>
        <m:r>
          <m:rPr>
            <m:sty m:val="p"/>
          </m:rPr>
          <m:t>=</m:t>
        </m:r>
        <m:r>
          <m:t>0.60</m:t>
        </m:r>
      </m:oMath>
      <w:r>
        <w:t xml:space="preserve">–</w:t>
      </w:r>
      <m:oMath>
        <m:r>
          <m:t>0.64</m:t>
        </m:r>
      </m:oMath>
      <w:r>
        <w:t xml:space="preserve"> </w:t>
      </w:r>
      <w:r>
        <w:t xml:space="preserve">where</w:t>
      </w:r>
      <w:r>
        <w:t xml:space="preserve"> </w:t>
      </w:r>
      <m:oMath>
        <m:sSup>
          <m:e>
            <m:r>
              <m:t>R</m:t>
            </m:r>
          </m:e>
          <m:sup>
            <m:r>
              <m:t>2</m:t>
            </m:r>
          </m:sup>
        </m:sSup>
        <m:r>
          <m:rPr>
            <m:sty m:val="p"/>
          </m:rPr>
          <m:t>&lt;</m:t>
        </m:r>
        <m:r>
          <m:t>0.55</m:t>
        </m:r>
      </m:oMath>
      <w:r>
        <w:t xml:space="preserve"> </w:t>
      </w:r>
      <w:r>
        <w:t xml:space="preserve">was initially predicted.</w:t>
      </w:r>
    </w:p>
    <w:p>
      <w:pPr>
        <w:numPr>
          <w:ilvl w:val="0"/>
          <w:numId w:val="1016"/>
        </w:numPr>
      </w:pPr>
      <w:r>
        <w:rPr>
          <w:b/>
          <w:bCs/>
        </w:rPr>
        <w:t xml:space="preserve">Real-Time Capability</w:t>
      </w:r>
      <w:r>
        <w:t xml:space="preserve">: Total latency of</w:t>
      </w:r>
      <w:r>
        <w:t xml:space="preserve"> </w:t>
      </w:r>
      <w:r>
        <w:rPr>
          <w:b/>
          <w:bCs/>
        </w:rPr>
        <w:t xml:space="preserve">~2.0 ms</w:t>
      </w:r>
      <w:r>
        <w:t xml:space="preserve"> </w:t>
      </w:r>
      <w:r>
        <w:t xml:space="preserve">per inference (CPU, batch=1) for N=3 and</w:t>
      </w:r>
      <w:r>
        <w:t xml:space="preserve"> </w:t>
      </w:r>
      <w:r>
        <w:rPr>
          <w:b/>
          <w:bCs/>
        </w:rPr>
        <w:t xml:space="preserve">~2.5 ms</w:t>
      </w:r>
      <w:r>
        <w:t xml:space="preserve"> </w:t>
      </w:r>
      <w:r>
        <w:t xml:space="preserve">for N=10 — both well within the 10–20 ms control loop threshold for real-time</w:t>
      </w:r>
      <w:r>
        <w:t xml:space="preserve"> </w:t>
      </w:r>
      <w:r>
        <w:t xml:space="preserve">structural health monitoring. The 0.5 ms overhead from</w:t>
      </w:r>
      <w:r>
        <w:t xml:space="preserve"> </w:t>
      </w:r>
      <m:oMath>
        <m:r>
          <m:t>N</m:t>
        </m:r>
        <m:r>
          <m:rPr>
            <m:sty m:val="p"/>
          </m:rPr>
          <m:t>=</m:t>
        </m:r>
        <m:r>
          <m:t>3</m:t>
        </m:r>
      </m:oMath>
      <w:r>
        <w:t xml:space="preserve"> </w:t>
      </w:r>
      <w:r>
        <w:t xml:space="preserve">to</w:t>
      </w:r>
      <w:r>
        <w:t xml:space="preserve"> </w:t>
      </w:r>
      <m:oMath>
        <m:r>
          <m:t>N</m:t>
        </m:r>
        <m:r>
          <m:rPr>
            <m:sty m:val="p"/>
          </m:rPr>
          <m:t>=</m:t>
        </m:r>
        <m:r>
          <m:t>10</m:t>
        </m:r>
      </m:oMath>
      <w:r>
        <w:t xml:space="preserve"> </w:t>
      </w:r>
      <w:r>
        <w:t xml:space="preserve">confirms that the</w:t>
      </w:r>
      <w:r>
        <w:t xml:space="preserve"> </w:t>
      </w:r>
      <w:r>
        <w:t xml:space="preserve">dominant computational cost is the 1D-CNN encoder, which is independent of</w:t>
      </w:r>
      <w:r>
        <w:t xml:space="preserve"> </w:t>
      </w:r>
      <m:oMath>
        <m:r>
          <m:t>N</m:t>
        </m:r>
      </m:oMath>
      <w:r>
        <w:t xml:space="preserve">.</w:t>
      </w:r>
    </w:p>
    <w:p>
      <w:pPr>
        <w:numPr>
          <w:ilvl w:val="0"/>
          <w:numId w:val="1016"/>
        </w:numPr>
      </w:pPr>
      <w:r>
        <w:rPr>
          <w:b/>
          <w:bCs/>
        </w:rPr>
        <w:t xml:space="preserve">Data Efficiency</w:t>
      </w:r>
      <w:r>
        <w:t xml:space="preserve">: The hybrid loss function enabled effective learning from 289 records,</w:t>
      </w:r>
      <w:r>
        <w:t xml:space="preserve"> </w:t>
      </w:r>
      <w:r>
        <w:t xml:space="preserve">competitive with methods requiring thousands of simulations. Dataset augmentation</w:t>
      </w:r>
      <w:r>
        <w:t xml:space="preserve"> </w:t>
      </w:r>
      <w:r>
        <w:t xml:space="preserve">(temporal windowing + amplitude scaling + Gaussian noise) produced 5,058 training samples</w:t>
      </w:r>
      <w:r>
        <w:t xml:space="preserve"> </w:t>
      </w:r>
      <w:r>
        <w:t xml:space="preserve">from 203 base records at a 2.5:1 augmentation ratio.</w:t>
      </w:r>
    </w:p>
    <w:p>
      <w:pPr>
        <w:numPr>
          <w:ilvl w:val="0"/>
          <w:numId w:val="1016"/>
        </w:numPr>
      </w:pPr>
      <w:r>
        <w:rPr>
          <w:b/>
          <w:bCs/>
        </w:rPr>
        <w:t xml:space="preserve">Encoder Universality via Transfer Learning</w:t>
      </w:r>
      <w:r>
        <w:t xml:space="preserve">: A CNN encoder trained on synthetic</w:t>
      </w:r>
      <w:r>
        <w:t xml:space="preserve"> </w:t>
      </w:r>
      <m:oMath>
        <m:r>
          <m:t>N</m:t>
        </m:r>
        <m:r>
          <m:rPr>
            <m:sty m:val="p"/>
          </m:rPr>
          <m:t>=</m:t>
        </m:r>
        <m:r>
          <m:t>3</m:t>
        </m:r>
      </m:oMath>
      <w:r>
        <w:t xml:space="preserve"> </w:t>
      </w:r>
      <w:r>
        <w:t xml:space="preserve">data</w:t>
      </w:r>
      <w:r>
        <w:t xml:space="preserve"> </w:t>
      </w:r>
      <w:r>
        <w:t xml:space="preserve">transfers to real PEER</w:t>
      </w:r>
      <w:r>
        <w:t xml:space="preserve"> </w:t>
      </w:r>
      <m:oMath>
        <m:r>
          <m:t>N</m:t>
        </m:r>
        <m:r>
          <m:rPr>
            <m:sty m:val="p"/>
          </m:rPr>
          <m:t>=</m:t>
        </m:r>
        <m:r>
          <m:t>10</m:t>
        </m:r>
      </m:oMath>
      <w:r>
        <w:t xml:space="preserve"> </w:t>
      </w:r>
      <w:r>
        <w:t xml:space="preserve">data with only 1.3%</w:t>
      </w:r>
      <w:r>
        <w:t xml:space="preserve"> </w:t>
      </w:r>
      <m:oMath>
        <m:sSup>
          <m:e>
            <m:r>
              <m:t>R</m:t>
            </m:r>
          </m:e>
          <m:sup>
            <m:r>
              <m:t>2</m:t>
            </m:r>
          </m:sup>
        </m:sSup>
      </m:oMath>
      <w:r>
        <w:t xml:space="preserve"> </w:t>
      </w:r>
      <w:r>
        <w:t xml:space="preserve">loss (</w:t>
      </w:r>
      <m:oMath>
        <m:r>
          <m:t>0.700</m:t>
        </m:r>
      </m:oMath>
      <w:r>
        <w:t xml:space="preserve"> </w:t>
      </w:r>
      <w:r>
        <w:t xml:space="preserve">vs. </w:t>
      </w:r>
      <m:oMath>
        <m:r>
          <m:t>0.713</m:t>
        </m:r>
      </m:oMath>
      <w:r>
        <w:t xml:space="preserve">) and 35%</w:t>
      </w:r>
      <w:r>
        <w:t xml:space="preserve"> </w:t>
      </w:r>
      <w:r>
        <w:t xml:space="preserve">shorter training time, demonstrating that ground motion features are domain-invariant across</w:t>
      </w:r>
      <w:r>
        <w:t xml:space="preserve"> </w:t>
      </w:r>
      <w:r>
        <w:t xml:space="preserve">building heights.</w:t>
      </w:r>
    </w:p>
    <w:p>
      <w:pPr>
        <w:numPr>
          <w:ilvl w:val="0"/>
          <w:numId w:val="1016"/>
        </w:numPr>
      </w:pPr>
      <w:r>
        <w:rPr>
          <w:b/>
          <w:bCs/>
        </w:rPr>
        <w:t xml:space="preserve">Seismic Fragility Curves</w:t>
      </w:r>
      <w:r>
        <w:t xml:space="preserve">: PgNN-derived fragility curves</w:t>
      </w:r>
      <w:r>
        <w:t xml:space="preserve"> </w:t>
      </w:r>
      <m:oMath>
        <m:r>
          <m:t>P</m:t>
        </m:r>
        <m:r>
          <m:rPr>
            <m:sty m:val="p"/>
          </m:rPr>
          <m:t>(</m:t>
        </m:r>
        <m:r>
          <m:t>D</m:t>
        </m:r>
        <m:r>
          <m:t>S</m:t>
        </m:r>
        <m:r>
          <m:rPr>
            <m:sty m:val="p"/>
          </m:rPr>
          <m:t>≥</m:t>
        </m:r>
        <m:r>
          <m:t>d</m:t>
        </m:r>
        <m:r>
          <m:t>s</m:t>
        </m:r>
        <m:r>
          <m:t> </m:t>
        </m:r>
        <m:r>
          <m:rPr>
            <m:sty m:val="p"/>
          </m:rPr>
          <m:t>|</m:t>
        </m:r>
        <m:r>
          <m:t> </m:t>
        </m:r>
        <m:r>
          <m:t>P</m:t>
        </m:r>
        <m:r>
          <m:t>G</m:t>
        </m:r>
        <m:r>
          <m:t>A</m:t>
        </m:r>
        <m:r>
          <m:rPr>
            <m:sty m:val="p"/>
          </m:rPr>
          <m:t>)</m:t>
        </m:r>
      </m:oMath>
      <w:r>
        <w:t xml:space="preserve"> </w:t>
      </w:r>
      <w:r>
        <w:t xml:space="preserve">identify</w:t>
      </w:r>
      <w:r>
        <w:t xml:space="preserve"> </w:t>
      </w:r>
      <w:r>
        <w:t xml:space="preserve">Stories 4–5 as the most vulnerable for Life Safety exceedance, revealing that mid-height drift</w:t>
      </w:r>
      <w:r>
        <w:t xml:space="preserve"> </w:t>
      </w:r>
      <w:r>
        <w:t xml:space="preserve">concentration — not the whiplash zone — governs the building-level LS performance.</w:t>
      </w:r>
    </w:p>
    <w:p>
      <w:pPr>
        <w:numPr>
          <w:ilvl w:val="0"/>
          <w:numId w:val="1016"/>
        </w:numPr>
      </w:pPr>
      <w:r>
        <w:rPr>
          <w:b/>
          <w:bCs/>
        </w:rPr>
        <w:t xml:space="preserve">Reproducible Framework</w:t>
      </w:r>
      <w:r>
        <w:t xml:space="preserve">: The centralized</w:t>
      </w:r>
      <w:r>
        <w:t xml:space="preserve"> </w:t>
      </w:r>
      <w:r>
        <w:rPr>
          <w:rStyle w:val="VerbatimChar"/>
        </w:rPr>
        <w:t xml:space="preserve">GlobalConfig</w:t>
      </w:r>
      <w:r>
        <w:t xml:space="preserve"> </w:t>
      </w:r>
      <w:r>
        <w:t xml:space="preserve">serialization ensures structural</w:t>
      </w:r>
      <w:r>
        <w:t xml:space="preserve"> </w:t>
      </w:r>
      <w:r>
        <w:t xml:space="preserve">parameters (</w:t>
      </w:r>
      <m:oMath>
        <m:r>
          <m:t>N</m:t>
        </m:r>
      </m:oMath>
      <w:r>
        <w:t xml:space="preserve">,</w:t>
      </w:r>
      <w:r>
        <w:t xml:space="preserve"> </w:t>
      </w:r>
      <m:oMath>
        <m:sSub>
          <m:e>
            <m:r>
              <m:t>n</m:t>
            </m:r>
          </m:e>
          <m:sub>
            <m:r>
              <m:t>b</m:t>
            </m:r>
            <m:r>
              <m:t>a</m:t>
            </m:r>
            <m:r>
              <m:t>y</m:t>
            </m:r>
            <m:r>
              <m:t>s</m:t>
            </m:r>
          </m:sub>
        </m:sSub>
      </m:oMath>
      <w:r>
        <w:t xml:space="preserve">,</w:t>
      </w:r>
      <w:r>
        <w:t xml:space="preserve"> </w:t>
      </w:r>
      <m:oMath>
        <m:r>
          <m:rPr>
            <m:sty m:val="p"/>
          </m:rPr>
          <m:t>Δ</m:t>
        </m:r>
        <m:r>
          <m:t>t</m:t>
        </m:r>
      </m:oMath>
      <w:r>
        <w:t xml:space="preserve">, seq_len) are consistent across simulation, pipeline,</w:t>
      </w:r>
      <w:r>
        <w:t xml:space="preserve"> </w:t>
      </w:r>
      <w:r>
        <w:t xml:space="preserve">and training stages, eliminating the shape-mismatch errors that plague multi-script ML pipelines.</w:t>
      </w:r>
    </w:p>
    <w:bookmarkEnd w:id="55"/>
    <w:bookmarkStart w:id="56" w:name="contributions"/>
    <w:p>
      <w:pPr>
        <w:pStyle w:val="Heading2"/>
      </w:pPr>
      <w:r>
        <w:t xml:space="preserve">6.2 Contributions</w:t>
      </w:r>
    </w:p>
    <w:p>
      <w:pPr>
        <w:numPr>
          <w:ilvl w:val="0"/>
          <w:numId w:val="1017"/>
        </w:numPr>
      </w:pPr>
      <w:r>
        <w:rPr>
          <w:b/>
          <w:bCs/>
        </w:rPr>
        <w:t xml:space="preserve">Parametric Hybrid Digital Twin</w:t>
      </w:r>
      <w:r>
        <w:t xml:space="preserve">: A fully parametric framework integrating</w:t>
      </w:r>
      <w:r>
        <w:t xml:space="preserve"> </w:t>
      </w:r>
      <w:r>
        <w:t xml:space="preserve">high-fidelity NLTHA (OpenSeesPy fiber sections) with a Physics-Guided Neural Network,</w:t>
      </w:r>
      <w:r>
        <w:t xml:space="preserve"> </w:t>
      </w:r>
      <w:r>
        <w:t xml:space="preserve">scalable from N=3 to N=10+ stories without architectural modification.</w:t>
      </w:r>
    </w:p>
    <w:p>
      <w:pPr>
        <w:numPr>
          <w:ilvl w:val="0"/>
          <w:numId w:val="1017"/>
        </w:numPr>
      </w:pPr>
      <w:r>
        <w:rPr>
          <w:b/>
          <w:bCs/>
        </w:rPr>
        <w:t xml:space="preserve">FEM-Guided Loss with Physics Tensors</w:t>
      </w:r>
      <w:r>
        <w:t xml:space="preserve">: A hybrid loss formulation using actual nonlinear</w:t>
      </w:r>
      <w:r>
        <w:t xml:space="preserve"> </w:t>
      </w:r>
      <w:r>
        <w:t xml:space="preserve">restoring forces</w:t>
      </w:r>
      <w:r>
        <w:t xml:space="preserve"> </w:t>
      </w:r>
      <m:oMath>
        <m:sSub>
          <m:e>
            <m:r>
              <m:t>f</m:t>
            </m:r>
          </m:e>
          <m:sub>
            <m:r>
              <m:t>i</m:t>
            </m:r>
            <m:r>
              <m:t>n</m:t>
            </m:r>
            <m:r>
              <m:t>t</m:t>
            </m:r>
          </m:sub>
        </m:sSub>
      </m:oMath>
      <w:r>
        <w:t xml:space="preserve">, floor accelerations</w:t>
      </w:r>
      <w:r>
        <w:t xml:space="preserve"> </w:t>
      </w:r>
      <m:oMath>
        <m:acc>
          <m:accPr>
            <m:chr m:val="̈"/>
          </m:accPr>
          <m:e>
            <m:r>
              <m:rPr>
                <m:sty m:val="bi"/>
              </m:rPr>
              <m:t>u</m:t>
            </m:r>
          </m:e>
        </m:acc>
      </m:oMath>
      <w:r>
        <w:t xml:space="preserve">, and velocities</w:t>
      </w:r>
      <w:r>
        <w:t xml:space="preserve"> </w:t>
      </w:r>
      <m:oMath>
        <m:acc>
          <m:accPr>
            <m:chr m:val="̇"/>
          </m:accPr>
          <m:e>
            <m:r>
              <m:rPr>
                <m:sty m:val="bi"/>
              </m:rPr>
              <m:t>u</m:t>
            </m:r>
          </m:e>
        </m:acc>
      </m:oMath>
      <w:r>
        <w:t xml:space="preserve"> </w:t>
      </w:r>
      <w:r>
        <w:t xml:space="preserve">from OpenSeesPy fiber sections — not analytical approximations — to inform</w:t>
      </w:r>
      <w:r>
        <w:t xml:space="preserve"> </w:t>
      </w:r>
      <w:r>
        <w:t xml:space="preserve">per-story inverse-variance weights and physics tensor regularization. This FEM-guided approach</w:t>
      </w:r>
      <w:r>
        <w:t xml:space="preserve"> </w:t>
      </w:r>
      <w:r>
        <w:t xml:space="preserve">encodes cracking, yielding, and cyclic degradation directly into the training objective.</w:t>
      </w:r>
    </w:p>
    <w:p>
      <w:pPr>
        <w:numPr>
          <w:ilvl w:val="0"/>
          <w:numId w:val="1017"/>
        </w:numPr>
      </w:pPr>
      <w:r>
        <w:rPr>
          <w:b/>
          <w:bCs/>
        </w:rPr>
        <w:t xml:space="preserve">Whiplash Effect Framework</w:t>
      </w:r>
      <w:r>
        <w:t xml:space="preserve">: Systematic characterization of the monotonic per-story</w:t>
      </w:r>
      <w:r>
        <w:t xml:space="preserve"> </w:t>
      </w:r>
      <w:r>
        <w:t xml:space="preserve">accuracy degradation (</w:t>
      </w:r>
      <m:oMath>
        <m:sSup>
          <m:e>
            <m:r>
              <m:t>R</m:t>
            </m:r>
          </m:e>
          <m:sup>
            <m:r>
              <m:t>2</m:t>
            </m:r>
          </m:sup>
        </m:sSup>
        <m:r>
          <m:rPr>
            <m:sty m:val="p"/>
          </m:rPr>
          <m:t>=</m:t>
        </m:r>
        <m:r>
          <m:t>0.754</m:t>
        </m:r>
        <m:r>
          <m:rPr>
            <m:sty m:val="p"/>
          </m:rPr>
          <m:t>→</m:t>
        </m:r>
        <m:r>
          <m:t>0.601</m:t>
        </m:r>
      </m:oMath>
      <w:r>
        <w:t xml:space="preserve">) for tall RC frames in the PgNN context,</w:t>
      </w:r>
      <w:r>
        <w:t xml:space="preserve"> </w:t>
      </w:r>
      <w:r>
        <w:t xml:space="preserve">linking first-mode mass participation ratio decay to prediction accuracy loss and</w:t>
      </w:r>
      <w:r>
        <w:t xml:space="preserve"> </w:t>
      </w:r>
      <w:r>
        <w:t xml:space="preserve">identifying Floors 8–10 as the whiplash zone where supplementary spectral inputs</w:t>
      </w:r>
      <w:r>
        <w:t xml:space="preserve"> </w:t>
      </w:r>
      <w:r>
        <w:t xml:space="preserve">are needed to close the accuracy gap.</w:t>
      </w:r>
    </w:p>
    <w:p>
      <w:pPr>
        <w:numPr>
          <w:ilvl w:val="0"/>
          <w:numId w:val="1017"/>
        </w:numPr>
      </w:pPr>
      <w:r>
        <w:rPr>
          <w:b/>
          <w:bCs/>
        </w:rPr>
        <w:t xml:space="preserve">Encoder Transfer Learning</w:t>
      </w:r>
      <w:r>
        <w:t xml:space="preserve">: Demonstrated that the 1D-CNN encoder learns universal ground</w:t>
      </w:r>
      <w:r>
        <w:t xml:space="preserve"> </w:t>
      </w:r>
      <w:r>
        <w:t xml:space="preserve">motion features (frequency content, energy distribution, strong-motion duration) that transfer</w:t>
      </w:r>
      <w:r>
        <w:t xml:space="preserve"> </w:t>
      </w:r>
      <w:r>
        <w:t xml:space="preserve">across building heights (</w:t>
      </w:r>
      <m:oMath>
        <m:r>
          <m:t>N</m:t>
        </m:r>
        <m:r>
          <m:rPr>
            <m:sty m:val="p"/>
          </m:rPr>
          <m:t>=</m:t>
        </m:r>
        <m:r>
          <m:t>3</m:t>
        </m:r>
        <m:r>
          <m:rPr>
            <m:sty m:val="p"/>
          </m:rPr>
          <m:t>→</m:t>
        </m:r>
        <m:r>
          <m:t>N</m:t>
        </m:r>
        <m:r>
          <m:rPr>
            <m:sty m:val="p"/>
          </m:rPr>
          <m:t>=</m:t>
        </m:r>
        <m:r>
          <m:t>10</m:t>
        </m:r>
      </m:oMath>
      <w:r>
        <w:t xml:space="preserve">) with 98.2% accuracy retention and 35% training speedup.</w:t>
      </w:r>
    </w:p>
    <w:p>
      <w:pPr>
        <w:numPr>
          <w:ilvl w:val="0"/>
          <w:numId w:val="1017"/>
        </w:numPr>
      </w:pPr>
      <w:r>
        <w:rPr>
          <w:b/>
          <w:bCs/>
        </w:rPr>
        <w:t xml:space="preserve">Surrogate-Derived Fragility</w:t>
      </w:r>
      <w:r>
        <w:t xml:space="preserve">: Application of PgNN predictions to construct per-story</w:t>
      </w:r>
      <w:r>
        <w:t xml:space="preserve"> </w:t>
      </w:r>
      <w:r>
        <w:t xml:space="preserve">seismic fragility curves</w:t>
      </w:r>
      <w:r>
        <w:t xml:space="preserve"> </w:t>
      </w:r>
      <m:oMath>
        <m:r>
          <m:t>P</m:t>
        </m:r>
        <m:r>
          <m:rPr>
            <m:sty m:val="p"/>
          </m:rPr>
          <m:t>(</m:t>
        </m:r>
        <m:r>
          <m:t>D</m:t>
        </m:r>
        <m:r>
          <m:t>S</m:t>
        </m:r>
        <m:r>
          <m:rPr>
            <m:sty m:val="p"/>
          </m:rPr>
          <m:t>≥</m:t>
        </m:r>
        <m:r>
          <m:t>d</m:t>
        </m:r>
        <m:r>
          <m:t>s</m:t>
        </m:r>
        <m:r>
          <m:t> </m:t>
        </m:r>
        <m:r>
          <m:rPr>
            <m:sty m:val="p"/>
          </m:rPr>
          <m:t>|</m:t>
        </m:r>
        <m:r>
          <m:t> </m:t>
        </m:r>
        <m:r>
          <m:t>P</m:t>
        </m:r>
        <m:r>
          <m:t>G</m:t>
        </m:r>
        <m:r>
          <m:t>A</m:t>
        </m:r>
        <m:r>
          <m:rPr>
            <m:sty m:val="p"/>
          </m:rPr>
          <m:t>)</m:t>
        </m:r>
      </m:oMath>
      <w:r>
        <w:t xml:space="preserve"> </w:t>
      </w:r>
      <w:r>
        <w:t xml:space="preserve">for multiple damage states (IO, LS, CP),</w:t>
      </w:r>
      <w:r>
        <w:t xml:space="preserve"> </w:t>
      </w:r>
      <w:r>
        <w:t xml:space="preserve">demonstrating compatibility with FEMA P-58 risk assessment workflows [16].</w:t>
      </w:r>
    </w:p>
    <w:p>
      <w:pPr>
        <w:numPr>
          <w:ilvl w:val="0"/>
          <w:numId w:val="1017"/>
        </w:numPr>
      </w:pPr>
      <w:r>
        <w:rPr>
          <w:b/>
          <w:bCs/>
        </w:rPr>
        <w:t xml:space="preserve">Reproducible Pipeline</w:t>
      </w:r>
      <w:r>
        <w:t xml:space="preserve">: Centralized configuration serialization, five-strategy NLTHA</w:t>
      </w:r>
      <w:r>
        <w:t xml:space="preserve"> </w:t>
      </w:r>
      <w:r>
        <w:t xml:space="preserve">convergence cascade, and automated PEER NGA-West2 spectral matching — designed for</w:t>
      </w:r>
      <w:r>
        <w:t xml:space="preserve"> </w:t>
      </w:r>
      <w:r>
        <w:t xml:space="preserve">research reproducibility across building configurations.</w:t>
      </w:r>
    </w:p>
    <w:p>
      <w:pPr>
        <w:numPr>
          <w:ilvl w:val="0"/>
          <w:numId w:val="1017"/>
        </w:numPr>
      </w:pPr>
      <w:r>
        <w:rPr>
          <w:b/>
          <w:bCs/>
        </w:rPr>
        <w:t xml:space="preserve">Real Data Validation at Scale</w:t>
      </w:r>
      <w:r>
        <w:t xml:space="preserve">: Validated against the complete PEER NGA-West2 database</w:t>
      </w:r>
      <w:r>
        <w:t xml:space="preserve"> </w:t>
      </w:r>
      <w:r>
        <w:t xml:space="preserve">(299 records: Friuli, Imperial Valley, Coalinga, San Fernando, and 96 other seismic events),</w:t>
      </w:r>
      <w:r>
        <w:t xml:space="preserve"> </w:t>
      </w:r>
      <w:r>
        <w:t xml:space="preserve">with 98.0% NLTHA convergence for N=3 and 88.6% for N=10.</w:t>
      </w:r>
    </w:p>
    <w:bookmarkEnd w:id="56"/>
    <w:bookmarkStart w:id="57" w:name="future-work"/>
    <w:p>
      <w:pPr>
        <w:pStyle w:val="Heading2"/>
      </w:pPr>
      <w:r>
        <w:t xml:space="preserve">6.3 Future Work</w:t>
      </w:r>
    </w:p>
    <w:p>
      <w:pPr>
        <w:pStyle w:val="FirstParagraph"/>
      </w:pPr>
      <w:r>
        <w:t xml:space="preserve">The following directions extend the present framework toward higher accuracy,</w:t>
      </w:r>
      <w:r>
        <w:t xml:space="preserve"> </w:t>
      </w:r>
      <w:r>
        <w:t xml:space="preserve">broader applicability, and field deployment.</w:t>
      </w:r>
    </w:p>
    <w:p>
      <w:pPr>
        <w:numPr>
          <w:ilvl w:val="0"/>
          <w:numId w:val="1018"/>
        </w:numPr>
      </w:pPr>
      <w:r>
        <w:rPr>
          <w:b/>
          <w:bCs/>
        </w:rPr>
        <w:t xml:space="preserve">Irregular buildings.</w:t>
      </w:r>
      <w:r>
        <w:t xml:space="preserve"> </w:t>
      </w:r>
      <w:r>
        <w:t xml:space="preserve">The most immediate extension targets height-irregular</w:t>
      </w:r>
      <w:r>
        <w:t xml:space="preserve"> </w:t>
      </w:r>
      <w:r>
        <w:t xml:space="preserve">RC frames (soft stories, setbacks), where stiffness discontinuities concentrate</w:t>
      </w:r>
      <w:r>
        <w:t xml:space="preserve"> </w:t>
      </w:r>
      <w:r>
        <w:t xml:space="preserve">drift locally and distort the smooth mode shapes assumed in the current architecture.</w:t>
      </w:r>
      <w:r>
        <w:t xml:space="preserve"> </w:t>
      </w:r>
      <w:r>
        <w:t xml:space="preserve">Encoding geometric irregularity as additional regression-head inputs would test</w:t>
      </w:r>
      <w:r>
        <w:t xml:space="preserve"> </w:t>
      </w:r>
      <w:r>
        <w:t xml:space="preserve">the PgNN’s ability to handle non-uniform whiplash profiles.</w:t>
      </w:r>
    </w:p>
    <w:p>
      <w:pPr>
        <w:numPr>
          <w:ilvl w:val="0"/>
          <w:numId w:val="1018"/>
        </w:numPr>
      </w:pPr>
      <w:r>
        <w:rPr>
          <w:b/>
          <w:bCs/>
        </w:rPr>
        <w:t xml:space="preserve">Spectral input features.</w:t>
      </w:r>
      <w:r>
        <w:t xml:space="preserve"> </w:t>
      </w:r>
      <w:r>
        <w:t xml:space="preserve">Including response spectra</w:t>
      </w:r>
      <w:r>
        <w:t xml:space="preserve"> </w:t>
      </w:r>
      <m:oMath>
        <m:sSub>
          <m:e>
            <m:r>
              <m:t>S</m:t>
            </m:r>
          </m:e>
          <m:sub>
            <m:r>
              <m:t>a</m:t>
            </m:r>
          </m:sub>
        </m:sSub>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w:r>
        <w:t xml:space="preserve"> </w:t>
      </w:r>
      <w:r>
        <w:t xml:space="preserve">and ground velocity</w:t>
      </w:r>
      <w:r>
        <w:t xml:space="preserve"> </w:t>
      </w:r>
      <m:oMath>
        <m:sSub>
          <m:e>
            <m:r>
              <m:t>v</m:t>
            </m:r>
          </m:e>
          <m:sub>
            <m:r>
              <m:t>g</m:t>
            </m:r>
          </m:sub>
        </m:sSub>
        <m:r>
          <m:rPr>
            <m:sty m:val="p"/>
          </m:rPr>
          <m:t>(</m:t>
        </m:r>
        <m:r>
          <m:t>t</m:t>
        </m:r>
        <m:r>
          <m:rPr>
            <m:sty m:val="p"/>
          </m:rPr>
          <m:t>)</m:t>
        </m:r>
      </m:oMath>
      <w:r>
        <w:t xml:space="preserve"> </w:t>
      </w:r>
      <w:r>
        <w:t xml:space="preserve">as supplementary inputs would provide the higher-mode</w:t>
      </w:r>
      <w:r>
        <w:t xml:space="preserve"> </w:t>
      </w:r>
      <w:r>
        <w:t xml:space="preserve">information currently absent from single-channel base acceleration, with an expected</w:t>
      </w:r>
      <w:r>
        <w:t xml:space="preserve"> </w:t>
      </w:r>
      <w:r>
        <w:t xml:space="preserve">improvement of</w:t>
      </w:r>
      <w:r>
        <w:t xml:space="preserve"> </w:t>
      </w:r>
      <m:oMath>
        <m:r>
          <m:rPr>
            <m:sty m:val="p"/>
          </m:rPr>
          <m:t>Δ</m:t>
        </m:r>
        <m:sSup>
          <m:e>
            <m:r>
              <m:t>R</m:t>
            </m:r>
          </m:e>
          <m:sup>
            <m:r>
              <m:t>2</m:t>
            </m:r>
          </m:sup>
        </m:sSup>
        <m:r>
          <m:rPr>
            <m:sty m:val="p"/>
          </m:rPr>
          <m:t>≈</m:t>
        </m:r>
        <m:r>
          <m:rPr>
            <m:sty m:val="p"/>
          </m:rPr>
          <m:t>+</m:t>
        </m:r>
        <m:r>
          <m:t>0.05</m:t>
        </m:r>
      </m:oMath>
      <w:r>
        <w:t xml:space="preserve">–</w:t>
      </w:r>
      <m:oMath>
        <m:r>
          <m:t>0.10</m:t>
        </m:r>
      </m:oMath>
      <w:r>
        <w:t xml:space="preserve"> </w:t>
      </w:r>
      <w:r>
        <w:t xml:space="preserve">for upper stories.</w:t>
      </w:r>
    </w:p>
    <w:p>
      <w:pPr>
        <w:numPr>
          <w:ilvl w:val="0"/>
          <w:numId w:val="1018"/>
        </w:numPr>
      </w:pPr>
      <w:r>
        <w:rPr>
          <w:b/>
          <w:bCs/>
        </w:rPr>
        <w:t xml:space="preserve">Graph-based regression head.</w:t>
      </w:r>
      <w:r>
        <w:t xml:space="preserve"> </w:t>
      </w:r>
      <w:r>
        <w:t xml:space="preserve">Replacing the dense output head with a Graph</w:t>
      </w:r>
      <w:r>
        <w:t xml:space="preserve"> </w:t>
      </w:r>
      <w:r>
        <w:t xml:space="preserve">Neural Network — where stories are nodes and inter-story stiffness defines edges —</w:t>
      </w:r>
      <w:r>
        <w:t xml:space="preserve"> </w:t>
      </w:r>
      <w:r>
        <w:t xml:space="preserve">would encode the structural coupling currently learned only implicitly.</w:t>
      </w:r>
    </w:p>
    <w:p>
      <w:pPr>
        <w:numPr>
          <w:ilvl w:val="0"/>
          <w:numId w:val="1018"/>
        </w:numPr>
      </w:pPr>
      <w:r>
        <w:rPr>
          <w:b/>
          <w:bCs/>
        </w:rPr>
        <w:t xml:space="preserve">Experimental validation.</w:t>
      </w:r>
      <w:r>
        <w:t xml:space="preserve"> </w:t>
      </w:r>
      <w:r>
        <w:t xml:space="preserve">Calibration against shake table test data would</w:t>
      </w:r>
      <w:r>
        <w:t xml:space="preserve"> </w:t>
      </w:r>
      <w:r>
        <w:t xml:space="preserve">quantify the modeling error attributable to the 2D planar-frame simplification</w:t>
      </w:r>
      <w:r>
        <w:t xml:space="preserve"> </w:t>
      </w:r>
      <w:r>
        <w:t xml:space="preserve">and validate the material constitutive assumptions.</w:t>
      </w:r>
    </w:p>
    <w:p>
      <w:pPr>
        <w:numPr>
          <w:ilvl w:val="0"/>
          <w:numId w:val="1018"/>
        </w:numPr>
      </w:pPr>
      <w:r>
        <w:rPr>
          <w:b/>
          <w:bCs/>
        </w:rPr>
        <w:t xml:space="preserve">Full PINN extension.</w:t>
      </w:r>
      <w:r>
        <w:t xml:space="preserve"> </w:t>
      </w:r>
      <w:r>
        <w:t xml:space="preserve">A differentiable modal response spectrum regularizer</w:t>
      </w:r>
      <w:r>
        <w:t xml:space="preserve"> </w:t>
      </w:r>
      <w:r>
        <w:t xml:space="preserve">relating predicted peak IDR to spectral demands</w:t>
      </w:r>
      <w:r>
        <w:t xml:space="preserve"> </w:t>
      </w:r>
      <m:oMath>
        <m:sSub>
          <m:e>
            <m:r>
              <m:t>S</m:t>
            </m:r>
          </m:e>
          <m:sub>
            <m:r>
              <m:t>d</m:t>
            </m:r>
          </m:sub>
        </m:sSub>
        <m:r>
          <m:rPr>
            <m:sty m:val="p"/>
          </m:rPr>
          <m:t>(</m:t>
        </m:r>
        <m:sSub>
          <m:e>
            <m:r>
              <m:t>T</m:t>
            </m:r>
          </m:e>
          <m:sub>
            <m:r>
              <m:t>n</m:t>
            </m:r>
          </m:sub>
        </m:sSub>
        <m:r>
          <m:rPr>
            <m:sty m:val="p"/>
          </m:rPr>
          <m:t>)</m:t>
        </m:r>
      </m:oMath>
      <w:r>
        <w:t xml:space="preserve"> </w:t>
      </w:r>
      <w:r>
        <w:t xml:space="preserve">via modal participation</w:t>
      </w:r>
      <w:r>
        <w:t xml:space="preserve"> </w:t>
      </w:r>
      <w:r>
        <w:t xml:space="preserve">factors would provide genuine physics gradients for the scalar output mode,</w:t>
      </w:r>
      <w:r>
        <w:t xml:space="preserve"> </w:t>
      </w:r>
      <w:r>
        <w:t xml:space="preserve">extending the current PgNN toward a full PINN formulation.</w:t>
      </w:r>
    </w:p>
    <w:p>
      <w:pPr>
        <w:numPr>
          <w:ilvl w:val="0"/>
          <w:numId w:val="1018"/>
        </w:numPr>
      </w:pPr>
      <w:r>
        <w:rPr>
          <w:b/>
          <w:bCs/>
        </w:rPr>
        <w:t xml:space="preserve">Edge deployment.</w:t>
      </w:r>
      <w:r>
        <w:t xml:space="preserve"> </w:t>
      </w:r>
      <w:r>
        <w:t xml:space="preserve">INT8 quantization for embedded hardware (e.g., NVIDIA Jetson,</w:t>
      </w:r>
      <w:r>
        <w:t xml:space="preserve"> </w:t>
      </w:r>
      <w:r>
        <w:t xml:space="preserve">Raspberry Pi) is expected to reduce inference latency below 1 ms, enabling onboard</w:t>
      </w:r>
      <w:r>
        <w:t xml:space="preserve"> </w:t>
      </w:r>
      <w:r>
        <w:t xml:space="preserve">post-earthquake assessment on accelerometer hardware.</w:t>
      </w:r>
    </w:p>
    <w:p>
      <w:r>
        <w:pict>
          <v:rect style="width:0;height:1.5pt" o:hralign="center" o:hrstd="t" o:hr="t"/>
        </w:pict>
      </w:r>
    </w:p>
    <w:bookmarkEnd w:id="57"/>
    <w:bookmarkEnd w:id="58"/>
    <w:bookmarkStart w:id="59" w:name="acknowledgements"/>
    <w:p>
      <w:pPr>
        <w:pStyle w:val="Heading1"/>
      </w:pPr>
      <w:r>
        <w:t xml:space="preserve">Acknowledgements</w:t>
      </w:r>
    </w:p>
    <w:p>
      <w:pPr>
        <w:pStyle w:val="FirstParagraph"/>
      </w:pPr>
      <w:r>
        <w:t xml:space="preserve">The author acknowledges the Pacific Earthquake Engineering Research Center</w:t>
      </w:r>
      <w:r>
        <w:t xml:space="preserve"> </w:t>
      </w:r>
      <w:r>
        <w:t xml:space="preserve">(PEER) for providing open access to the NGA-West2 ground motion database,</w:t>
      </w:r>
      <w:r>
        <w:t xml:space="preserve"> </w:t>
      </w:r>
      <w:r>
        <w:t xml:space="preserve">which was essential for this study (http://peer.berkeley.edu).</w:t>
      </w:r>
    </w:p>
    <w:p>
      <w:pPr>
        <w:pStyle w:val="BodyText"/>
      </w:pPr>
      <w:r>
        <w:t xml:space="preserve">This research did not receive any specific grant from funding agencies in the</w:t>
      </w:r>
      <w:r>
        <w:t xml:space="preserve"> </w:t>
      </w:r>
      <w:r>
        <w:t xml:space="preserve">public, commercial, or not-for-profit sectors.</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2026-02-20T20:36:24Z</dcterms:created>
  <dcterms:modified xsi:type="dcterms:W3CDTF">2026-02-20T20:36:24Z</dcterms:modified>
</cp:coreProperties>
</file>

<file path=docProps/custom.xml><?xml version="1.0" encoding="utf-8"?>
<Properties xmlns="http://schemas.openxmlformats.org/officeDocument/2006/custom-properties" xmlns:vt="http://schemas.openxmlformats.org/officeDocument/2006/docPropsVTypes"/>
</file>