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7BF36" w14:textId="77777777" w:rsidR="00195957" w:rsidRDefault="008148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 1</w:t>
      </w:r>
    </w:p>
    <w:p w14:paraId="529F46BE" w14:textId="77777777" w:rsidR="00195957" w:rsidRDefault="008148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«Изучение методов оценки алгоритмов»</w:t>
      </w:r>
    </w:p>
    <w:p w14:paraId="4369D5D8" w14:textId="77777777" w:rsidR="00195957" w:rsidRDefault="0019595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E3D8BBF" w14:textId="77777777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методов оценки алгоритмов и программ и определение временной и емкостной сложности типовых алгоритмов и программ.</w:t>
      </w:r>
    </w:p>
    <w:p w14:paraId="2A26F4C8" w14:textId="0071E7AD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задания, для которого определяется оценка асимптотической сложности алгоритма. </w:t>
      </w:r>
      <w:r w:rsidR="00B00FFE" w:rsidRPr="00B00FFE">
        <w:rPr>
          <w:rFonts w:ascii="Times New Roman" w:eastAsia="Times New Roman" w:hAnsi="Times New Roman" w:cs="Times New Roman"/>
          <w:sz w:val="28"/>
          <w:szCs w:val="28"/>
        </w:rPr>
        <w:t>Составить программу, которая формирует одномерный массив из</w:t>
      </w:r>
      <w:r w:rsidR="00B00FFE" w:rsidRPr="00B00F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FFE" w:rsidRPr="00B00FFE">
        <w:rPr>
          <w:rFonts w:ascii="Times New Roman" w:eastAsia="Times New Roman" w:hAnsi="Times New Roman" w:cs="Times New Roman"/>
          <w:sz w:val="28"/>
          <w:szCs w:val="28"/>
        </w:rPr>
        <w:t>n</w:t>
      </w:r>
      <w:r w:rsidR="00B00FFE" w:rsidRPr="00B00F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0FFE" w:rsidRPr="00B00FFE">
        <w:rPr>
          <w:rFonts w:ascii="Times New Roman" w:eastAsia="Times New Roman" w:hAnsi="Times New Roman" w:cs="Times New Roman"/>
          <w:sz w:val="28"/>
          <w:szCs w:val="28"/>
        </w:rPr>
        <w:t>случайных чисел. Определить сумму отрицательных чисел и отдельно сумму остальных. Значение n меняется в пределах от 10 до 50 миллионов.</w:t>
      </w:r>
    </w:p>
    <w:p w14:paraId="338960B1" w14:textId="0BA782AC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реализована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4F3D71" w14:textId="77777777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Эмпирическая оценка асимптотическ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ой сложности алгоритма. </w:t>
      </w:r>
      <w:r>
        <w:rPr>
          <w:rFonts w:ascii="Times New Roman" w:eastAsia="Times New Roman" w:hAnsi="Times New Roman" w:cs="Times New Roman"/>
          <w:sz w:val="28"/>
          <w:szCs w:val="28"/>
        </w:rPr>
        <w:t>Асимптотическая сложность алгоритма оценивается по следующей формуле:</w:t>
      </w:r>
    </w:p>
    <w:p w14:paraId="52F4FB68" w14:textId="77777777" w:rsidR="00195957" w:rsidRDefault="001959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D9914" w14:textId="77777777" w:rsidR="00195957" w:rsidRDefault="00814831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O</m:t>
              </m:r>
            </m:e>
            <m: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d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</m:oMath>
      </m:oMathPara>
    </w:p>
    <w:p w14:paraId="70C65500" w14:textId="3A2452F7" w:rsidR="00195957" w:rsidRDefault="00814831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cycle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+2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</m:oMath>
      </m:oMathPara>
    </w:p>
    <w:p w14:paraId="03B7DECF" w14:textId="0689EFD2" w:rsidR="00195957" w:rsidRDefault="00814831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n×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(1+1+1+1)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+2</m:t>
          </m:r>
        </m:oMath>
      </m:oMathPara>
    </w:p>
    <w:p w14:paraId="3FEB5DC7" w14:textId="1F2B8645" w:rsidR="00195957" w:rsidRDefault="00814831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4n+2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;</m:t>
          </m:r>
        </m:oMath>
      </m:oMathPara>
    </w:p>
    <w:p w14:paraId="43796612" w14:textId="7DC1BC77" w:rsidR="00195957" w:rsidRDefault="00814831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O</m:t>
              </m:r>
            </m:e>
            <m:sub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d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4n+2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;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p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14:paraId="234DA505" w14:textId="77777777" w:rsidR="00195957" w:rsidRDefault="001959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C07A8B" w14:textId="77777777" w:rsidR="00195957" w:rsidRDefault="008148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 – сложность первой, второй и третьей функций, составляющих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    алгоритм;</w:t>
      </w:r>
    </w:p>
    <w:p w14:paraId="172A1C83" w14:textId="77777777" w:rsidR="00195957" w:rsidRDefault="0081483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    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cycle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 – сложность цикла;</w:t>
      </w:r>
    </w:p>
    <w:p w14:paraId="4594845D" w14:textId="77777777" w:rsidR="00195957" w:rsidRDefault="0081483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       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 – число повторений цикла (размерность квадратной матрицы).</w:t>
      </w:r>
    </w:p>
    <w:p w14:paraId="6DA6B528" w14:textId="77777777" w:rsidR="00195957" w:rsidRDefault="00195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0A369" w14:textId="7F30C215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вышеизложенного следует, что 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зработанный алгоритм имеет сложность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14:paraId="7509D1ED" w14:textId="6E331555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Экспериментальная оценка асимптотической сложности алгоритма. </w:t>
      </w:r>
      <w:r>
        <w:rPr>
          <w:rFonts w:ascii="Times New Roman" w:eastAsia="Times New Roman" w:hAnsi="Times New Roman" w:cs="Times New Roman"/>
          <w:sz w:val="28"/>
          <w:szCs w:val="28"/>
        </w:rPr>
        <w:t>Экспериментальная оценка асимптотической сложности алгоритма проводилась с помощью библиотеки Charts.js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Результаты оцен</w:t>
      </w:r>
      <w:r>
        <w:rPr>
          <w:rFonts w:ascii="Times New Roman" w:eastAsia="Times New Roman" w:hAnsi="Times New Roman" w:cs="Times New Roman"/>
          <w:sz w:val="28"/>
          <w:szCs w:val="28"/>
        </w:rPr>
        <w:t>ки изложены в таблице 1 и отражены на графике.</w:t>
      </w:r>
    </w:p>
    <w:p w14:paraId="14C768B0" w14:textId="77777777" w:rsidR="00195957" w:rsidRDefault="00195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07D784" w14:textId="77777777" w:rsidR="00195957" w:rsidRDefault="008148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1. Результаты экспериментальной оценки асимптотической сложности алгоритма.</w:t>
      </w:r>
    </w:p>
    <w:tbl>
      <w:tblPr>
        <w:tblStyle w:val="a5"/>
        <w:tblW w:w="97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2"/>
        <w:gridCol w:w="3507"/>
        <w:gridCol w:w="1947"/>
        <w:gridCol w:w="1947"/>
        <w:gridCol w:w="1948"/>
      </w:tblGrid>
      <w:tr w:rsidR="00195957" w14:paraId="0C1BC31A" w14:textId="77777777">
        <w:trPr>
          <w:jc w:val="center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E3C9E7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11C592CA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39D0A20" w14:textId="259DAD55" w:rsidR="00195957" w:rsidRDefault="008148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 </w:t>
            </w:r>
            <w:r w:rsidR="00621402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задаваемый рандомно</w:t>
            </w:r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9A570D" w14:textId="77777777" w:rsidR="00195957" w:rsidRDefault="008148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Среднее время выполнения итераций,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194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0A5701" w14:textId="77777777" w:rsidR="00195957" w:rsidRDefault="008148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  <w:tc>
          <w:tcPr>
            <w:tcW w:w="19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88D90" w14:textId="77777777" w:rsidR="00195957" w:rsidRDefault="0081483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195957" w14:paraId="12D504BF" w14:textId="77777777">
        <w:trPr>
          <w:jc w:val="center"/>
        </w:trPr>
        <w:tc>
          <w:tcPr>
            <w:tcW w:w="392" w:type="dxa"/>
            <w:tcBorders>
              <w:top w:val="single" w:sz="4" w:space="0" w:color="000000"/>
            </w:tcBorders>
            <w:vAlign w:val="center"/>
          </w:tcPr>
          <w:p w14:paraId="2018849B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7" w:type="dxa"/>
            <w:tcBorders>
              <w:top w:val="single" w:sz="4" w:space="0" w:color="000000"/>
            </w:tcBorders>
            <w:vAlign w:val="bottom"/>
          </w:tcPr>
          <w:p w14:paraId="67A3DEB6" w14:textId="2325D30C" w:rsidR="00195957" w:rsidRDefault="00621402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млн</w:t>
            </w:r>
          </w:p>
        </w:tc>
        <w:tc>
          <w:tcPr>
            <w:tcW w:w="1947" w:type="dxa"/>
            <w:tcBorders>
              <w:top w:val="single" w:sz="4" w:space="0" w:color="000000"/>
            </w:tcBorders>
            <w:vAlign w:val="bottom"/>
          </w:tcPr>
          <w:p w14:paraId="14A3D2FF" w14:textId="08986BCE" w:rsidR="00195957" w:rsidRDefault="00621402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1947" w:type="dxa"/>
            <w:tcBorders>
              <w:top w:val="single" w:sz="4" w:space="0" w:color="000000"/>
            </w:tcBorders>
            <w:vAlign w:val="bottom"/>
          </w:tcPr>
          <w:p w14:paraId="6BE2432C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tcBorders>
              <w:top w:val="single" w:sz="4" w:space="0" w:color="000000"/>
            </w:tcBorders>
            <w:vAlign w:val="center"/>
          </w:tcPr>
          <w:p w14:paraId="6237D436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195957" w14:paraId="60603E91" w14:textId="77777777">
        <w:trPr>
          <w:jc w:val="center"/>
        </w:trPr>
        <w:tc>
          <w:tcPr>
            <w:tcW w:w="392" w:type="dxa"/>
            <w:vAlign w:val="center"/>
          </w:tcPr>
          <w:p w14:paraId="1123C0CC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7" w:type="dxa"/>
            <w:vAlign w:val="bottom"/>
          </w:tcPr>
          <w:p w14:paraId="23A8086F" w14:textId="29F94EB7" w:rsidR="00195957" w:rsidRDefault="00621402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млн</w:t>
            </w:r>
          </w:p>
        </w:tc>
        <w:tc>
          <w:tcPr>
            <w:tcW w:w="1947" w:type="dxa"/>
            <w:vAlign w:val="bottom"/>
          </w:tcPr>
          <w:p w14:paraId="00585841" w14:textId="37CFC965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896</w:t>
            </w:r>
          </w:p>
        </w:tc>
        <w:tc>
          <w:tcPr>
            <w:tcW w:w="1947" w:type="dxa"/>
            <w:vAlign w:val="bottom"/>
          </w:tcPr>
          <w:p w14:paraId="583E657E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6CC86F3C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195957" w14:paraId="6E864DE5" w14:textId="77777777">
        <w:trPr>
          <w:jc w:val="center"/>
        </w:trPr>
        <w:tc>
          <w:tcPr>
            <w:tcW w:w="392" w:type="dxa"/>
            <w:vAlign w:val="center"/>
          </w:tcPr>
          <w:p w14:paraId="674D1E8F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7" w:type="dxa"/>
            <w:vAlign w:val="bottom"/>
          </w:tcPr>
          <w:p w14:paraId="149A44A5" w14:textId="36D8AB9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 млн</w:t>
            </w:r>
          </w:p>
        </w:tc>
        <w:tc>
          <w:tcPr>
            <w:tcW w:w="1947" w:type="dxa"/>
            <w:vAlign w:val="bottom"/>
          </w:tcPr>
          <w:p w14:paraId="7D48289B" w14:textId="754C7B42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1499</w:t>
            </w:r>
          </w:p>
        </w:tc>
        <w:tc>
          <w:tcPr>
            <w:tcW w:w="1947" w:type="dxa"/>
            <w:vAlign w:val="bottom"/>
          </w:tcPr>
          <w:p w14:paraId="544ACB20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545F7E8A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195957" w14:paraId="10340CC8" w14:textId="77777777">
        <w:trPr>
          <w:jc w:val="center"/>
        </w:trPr>
        <w:tc>
          <w:tcPr>
            <w:tcW w:w="392" w:type="dxa"/>
            <w:vAlign w:val="center"/>
          </w:tcPr>
          <w:p w14:paraId="31673B42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7" w:type="dxa"/>
            <w:vAlign w:val="bottom"/>
          </w:tcPr>
          <w:p w14:paraId="6059308F" w14:textId="2131B7C1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млн</w:t>
            </w:r>
          </w:p>
        </w:tc>
        <w:tc>
          <w:tcPr>
            <w:tcW w:w="1947" w:type="dxa"/>
            <w:vAlign w:val="bottom"/>
          </w:tcPr>
          <w:p w14:paraId="58A8D921" w14:textId="7070CE3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2593</w:t>
            </w:r>
          </w:p>
        </w:tc>
        <w:tc>
          <w:tcPr>
            <w:tcW w:w="1947" w:type="dxa"/>
            <w:vAlign w:val="bottom"/>
          </w:tcPr>
          <w:p w14:paraId="609EB881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44190DD2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195957" w14:paraId="31E071DE" w14:textId="77777777">
        <w:trPr>
          <w:jc w:val="center"/>
        </w:trPr>
        <w:tc>
          <w:tcPr>
            <w:tcW w:w="392" w:type="dxa"/>
            <w:vAlign w:val="center"/>
          </w:tcPr>
          <w:p w14:paraId="37DAFFD1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07" w:type="dxa"/>
            <w:vAlign w:val="bottom"/>
          </w:tcPr>
          <w:p w14:paraId="6794C060" w14:textId="76DBBA6A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 млн</w:t>
            </w:r>
          </w:p>
        </w:tc>
        <w:tc>
          <w:tcPr>
            <w:tcW w:w="1947" w:type="dxa"/>
            <w:vAlign w:val="bottom"/>
          </w:tcPr>
          <w:p w14:paraId="50A51FB4" w14:textId="46F70C4F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3197</w:t>
            </w:r>
          </w:p>
        </w:tc>
        <w:tc>
          <w:tcPr>
            <w:tcW w:w="1947" w:type="dxa"/>
            <w:vAlign w:val="bottom"/>
          </w:tcPr>
          <w:p w14:paraId="69BE2DC1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8" w:type="dxa"/>
            <w:vAlign w:val="center"/>
          </w:tcPr>
          <w:p w14:paraId="3FEE3E7F" w14:textId="77777777" w:rsidR="00195957" w:rsidRDefault="0081483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</w:tbl>
    <w:p w14:paraId="6C89C481" w14:textId="77777777" w:rsidR="00195957" w:rsidRDefault="0019595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4469BE" w14:textId="317C1AB7" w:rsidR="00195957" w:rsidRDefault="00B00FFE">
      <w:pPr>
        <w:spacing w:after="0" w:line="240" w:lineRule="auto"/>
        <w:ind w:left="-1417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0FF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19A165" wp14:editId="7326ABB8">
            <wp:extent cx="6686550" cy="3110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98FB" w14:textId="77777777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изучены методы оценки алгоритмов и программ и определения временной и емкостной сложности типовых алгоритмов и программ.</w:t>
      </w:r>
    </w:p>
    <w:p w14:paraId="0A8EB1E0" w14:textId="350A510D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Эмпирическим путем установлено, что разработанный алгоритм имеет сложность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O(n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анализа гра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фика, построенного на основании результатов экспериментального определения сложности алгоритма, установлено, что график имеет вид </w:t>
      </w:r>
      <w:r w:rsidR="00621402">
        <w:rPr>
          <w:rFonts w:ascii="Times New Roman" w:eastAsia="Times New Roman" w:hAnsi="Times New Roman" w:cs="Times New Roman"/>
          <w:sz w:val="28"/>
          <w:szCs w:val="28"/>
        </w:rPr>
        <w:t>прямой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свидетельствует о </w:t>
      </w:r>
      <w:r w:rsidR="00621402">
        <w:rPr>
          <w:rFonts w:ascii="Times New Roman" w:eastAsia="Times New Roman" w:hAnsi="Times New Roman" w:cs="Times New Roman"/>
          <w:sz w:val="28"/>
          <w:szCs w:val="28"/>
        </w:rPr>
        <w:t>прямолинейной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зависимости времени выполнения алгоритма от размера матрицы.</w:t>
      </w:r>
    </w:p>
    <w:p w14:paraId="1F4A85F1" w14:textId="77777777" w:rsidR="00195957" w:rsidRDefault="008148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результаты эксперимента хорошо коррелируют с расчетными значениями.</w:t>
      </w:r>
    </w:p>
    <w:p w14:paraId="09011E6F" w14:textId="77777777" w:rsidR="00195957" w:rsidRDefault="001959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F93E6D" w14:textId="77777777" w:rsidR="00195957" w:rsidRDefault="008148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Приложения: исходный код программы в электронном формате.</w:t>
      </w:r>
    </w:p>
    <w:sectPr w:rsidR="00195957">
      <w:pgSz w:w="11906" w:h="16838"/>
      <w:pgMar w:top="1134" w:right="68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57"/>
    <w:rsid w:val="00195957"/>
    <w:rsid w:val="00621402"/>
    <w:rsid w:val="00814831"/>
    <w:rsid w:val="00B0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0DF9"/>
  <w15:docId w15:val="{F3E53715-D9D1-40A4-AC39-43DC5201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6YTNQw5dIOCeyGidWJ0JjEFvlw==">CgMxLjA4AHIhMTd4NzBwR0xVejNKWjUyMUVwR3k1ZllFNEVJUE1zYVVL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Кутас</cp:lastModifiedBy>
  <cp:revision>2</cp:revision>
  <dcterms:created xsi:type="dcterms:W3CDTF">2024-05-14T18:32:00Z</dcterms:created>
  <dcterms:modified xsi:type="dcterms:W3CDTF">2024-05-14T18:56:00Z</dcterms:modified>
</cp:coreProperties>
</file>