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2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Photo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Phone:  </w:t>
            </w:r>
          </w:p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  <w:tab/>
            </w:r>
          </w:p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Skype: </w:t>
              <w:tab/>
            </w:r>
          </w:p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  </w:t>
              <w:tab/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b w:val="1"/>
          <w:color w:val="ffffff"/>
          <w:highlight w:val="darkGray"/>
          <w:rtl w:val="0"/>
        </w:rPr>
        <w:t xml:space="preserve">                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5.0" w:type="dxa"/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2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b w:val="1"/>
          <w:rtl w:val="0"/>
        </w:rPr>
        <w:t xml:space="preserve">(Applying for a position of a)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(example for QA Specialist )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English Proficiency:       </w:t>
        <w:tab/>
        <w:t xml:space="preserve">       </w:t>
      </w:r>
      <w:r w:rsidDel="00000000" w:rsidR="00000000" w:rsidRPr="00000000">
        <w:rPr>
          <w:i w:val="1"/>
          <w:rtl w:val="0"/>
        </w:rPr>
        <w:t xml:space="preserve">Intermediate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Management Systems:       </w:t>
      </w:r>
      <w:r w:rsidDel="00000000" w:rsidR="00000000" w:rsidRPr="00000000">
        <w:rPr>
          <w:i w:val="1"/>
          <w:rtl w:val="0"/>
        </w:rPr>
        <w:t xml:space="preserve">Agile Fant, TestLink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Bug Tracking Systems:  </w:t>
        <w:tab/>
        <w:t xml:space="preserve">       </w:t>
      </w:r>
      <w:r w:rsidDel="00000000" w:rsidR="00000000" w:rsidRPr="00000000">
        <w:rPr>
          <w:i w:val="1"/>
          <w:rtl w:val="0"/>
        </w:rPr>
        <w:t xml:space="preserve">Bugzilla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Database Management:            </w:t>
      </w:r>
      <w:r w:rsidDel="00000000" w:rsidR="00000000" w:rsidRPr="00000000">
        <w:rPr>
          <w:i w:val="1"/>
          <w:rtl w:val="0"/>
        </w:rPr>
        <w:t xml:space="preserve">  MySQL, MyPHPadmin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OS:                                    </w:t>
        <w:tab/>
        <w:t xml:space="preserve">      </w:t>
      </w:r>
      <w:r w:rsidDel="00000000" w:rsidR="00000000" w:rsidRPr="00000000">
        <w:rPr>
          <w:i w:val="1"/>
          <w:rtl w:val="0"/>
        </w:rPr>
        <w:t xml:space="preserve">Windows, iOS, Symbian, Android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Automation Testing Tools:       </w:t>
      </w:r>
      <w:r w:rsidDel="00000000" w:rsidR="00000000" w:rsidRPr="00000000">
        <w:rPr>
          <w:i w:val="1"/>
          <w:rtl w:val="0"/>
        </w:rPr>
        <w:t xml:space="preserve">Selenium IDE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Webserver:                       </w:t>
        <w:tab/>
        <w:t xml:space="preserve">      </w:t>
      </w:r>
      <w:r w:rsidDel="00000000" w:rsidR="00000000" w:rsidRPr="00000000">
        <w:rPr>
          <w:i w:val="1"/>
          <w:rtl w:val="0"/>
        </w:rPr>
        <w:t xml:space="preserve">Apache 2.2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Tools:                                           </w:t>
      </w:r>
      <w:r w:rsidDel="00000000" w:rsidR="00000000" w:rsidRPr="00000000">
        <w:rPr>
          <w:i w:val="1"/>
          <w:rtl w:val="0"/>
        </w:rPr>
        <w:t xml:space="preserve">Firebug, Pict, CMD, Html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b w:val="1"/>
          <w:color w:val="ffffff"/>
          <w:highlight w:val="darkGray"/>
          <w:rtl w:val="0"/>
        </w:rPr>
        <w:t xml:space="preserve">      </w:t>
      </w:r>
    </w:p>
    <w:tbl>
      <w:tblPr>
        <w:tblStyle w:val="Table5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 of time – Educational Center of HTP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 of time – Higher Educational Establishment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Specialization: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 of time – Trainee, Educational Center of HTP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role: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 of time – Position, Company name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 responsibilities: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Achievements: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Period of time – Position, Company name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 responsibilities: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Achievements: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Additional Information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Portfolio: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interests: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Military obligation status: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Reason for applying for a job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color w:val="ffffff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color w:val="ffffff"/>
          <w:sz w:val="24"/>
          <w:szCs w:val="24"/>
          <w:highlight w:val="darkGray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7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5"/>
        <w:tblGridChange w:id="0">
          <w:tblGrid>
            <w:gridCol w:w="9975"/>
          </w:tblGrid>
        </w:tblGridChange>
      </w:tblGrid>
      <w:tr>
        <w:trPr>
          <w:trHeight w:val="3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720" w:firstLine="0"/>
              <w:contextualSpacing w:val="0"/>
              <w:rPr>
                <w:b w:val="1"/>
                <w:color w:val="ffffff"/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shd w:fill="999999" w:val="clear"/>
                <w:rtl w:val="0"/>
              </w:rPr>
              <w:t xml:space="preserve">References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0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