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36" w:rsidRPr="00936364" w:rsidRDefault="00BB1A36" w:rsidP="00BB1A36">
      <w:pPr>
        <w:pStyle w:val="Section6-Para"/>
        <w:numPr>
          <w:ilvl w:val="0"/>
          <w:numId w:val="0"/>
        </w:numPr>
        <w:jc w:val="both"/>
        <w:rPr>
          <w:sz w:val="24"/>
          <w:szCs w:val="24"/>
          <w:lang w:val="en-US"/>
        </w:rPr>
      </w:pPr>
      <w:bookmarkStart w:id="0" w:name="_Toc14269111"/>
      <w:r w:rsidRPr="00936364">
        <w:rPr>
          <w:rFonts w:eastAsia="Calibri"/>
          <w:iCs/>
          <w:sz w:val="24"/>
          <w:szCs w:val="24"/>
          <w:lang w:eastAsia="en-US"/>
        </w:rPr>
        <w:t>Technical Proposal Response Form for Mandatory Requirements</w:t>
      </w:r>
      <w:bookmarkStart w:id="1" w:name="_GoBack"/>
      <w:bookmarkEnd w:id="0"/>
      <w:bookmarkEnd w:id="1"/>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right w:w="144" w:type="dxa"/>
        </w:tblCellMar>
        <w:tblLook w:val="04A0" w:firstRow="1" w:lastRow="0" w:firstColumn="1" w:lastColumn="0" w:noHBand="0" w:noVBand="1"/>
      </w:tblPr>
      <w:tblGrid>
        <w:gridCol w:w="642"/>
        <w:gridCol w:w="5587"/>
        <w:gridCol w:w="1596"/>
        <w:gridCol w:w="1350"/>
      </w:tblGrid>
      <w:tr w:rsidR="00BB1A36" w:rsidRPr="00936364" w:rsidTr="007314EE">
        <w:trPr>
          <w:cantSplit/>
          <w:tblHeader/>
        </w:trPr>
        <w:tc>
          <w:tcPr>
            <w:tcW w:w="642" w:type="dxa"/>
            <w:shd w:val="clear" w:color="auto" w:fill="auto"/>
            <w:noWrap/>
            <w:vAlign w:val="center"/>
          </w:tcPr>
          <w:p w:rsidR="00BB1A36" w:rsidRPr="00936364" w:rsidRDefault="00BB1A36" w:rsidP="007314EE">
            <w:pPr>
              <w:spacing w:after="200" w:line="276" w:lineRule="auto"/>
              <w:jc w:val="both"/>
              <w:rPr>
                <w:b/>
                <w:sz w:val="24"/>
                <w:szCs w:val="24"/>
                <w:lang w:eastAsia="en-US"/>
              </w:rPr>
            </w:pPr>
            <w:r w:rsidRPr="00936364">
              <w:rPr>
                <w:b/>
                <w:sz w:val="24"/>
                <w:szCs w:val="24"/>
                <w:lang w:eastAsia="en-US"/>
              </w:rPr>
              <w:t>No.</w:t>
            </w:r>
          </w:p>
        </w:tc>
        <w:tc>
          <w:tcPr>
            <w:tcW w:w="5587" w:type="dxa"/>
            <w:shd w:val="clear" w:color="auto" w:fill="auto"/>
            <w:noWrap/>
            <w:vAlign w:val="center"/>
            <w:hideMark/>
          </w:tcPr>
          <w:p w:rsidR="00BB1A36" w:rsidRPr="00936364" w:rsidRDefault="00BB1A36" w:rsidP="007314EE">
            <w:pPr>
              <w:spacing w:after="200" w:line="276" w:lineRule="auto"/>
              <w:rPr>
                <w:b/>
                <w:bCs/>
                <w:sz w:val="24"/>
                <w:szCs w:val="24"/>
                <w:lang w:eastAsia="en-US"/>
              </w:rPr>
            </w:pPr>
            <w:r w:rsidRPr="00936364">
              <w:rPr>
                <w:b/>
                <w:bCs/>
                <w:sz w:val="24"/>
                <w:szCs w:val="24"/>
                <w:lang w:eastAsia="en-US"/>
              </w:rPr>
              <w:t>Mandatory Requirement</w:t>
            </w:r>
          </w:p>
        </w:tc>
        <w:tc>
          <w:tcPr>
            <w:tcW w:w="1596" w:type="dxa"/>
            <w:shd w:val="clear" w:color="auto" w:fill="auto"/>
            <w:vAlign w:val="center"/>
            <w:hideMark/>
          </w:tcPr>
          <w:p w:rsidR="00BB1A36" w:rsidRPr="00936364" w:rsidRDefault="00BB1A36" w:rsidP="007314EE">
            <w:pPr>
              <w:spacing w:after="200" w:line="276" w:lineRule="auto"/>
              <w:rPr>
                <w:b/>
                <w:bCs/>
                <w:sz w:val="24"/>
                <w:szCs w:val="24"/>
                <w:lang w:eastAsia="en-US"/>
              </w:rPr>
            </w:pPr>
            <w:r w:rsidRPr="00936364">
              <w:rPr>
                <w:b/>
                <w:bCs/>
                <w:sz w:val="24"/>
                <w:szCs w:val="24"/>
                <w:lang w:eastAsia="en-US"/>
              </w:rPr>
              <w:t>Bidder’s Response(I comply/I do not comply)</w:t>
            </w:r>
          </w:p>
        </w:tc>
        <w:tc>
          <w:tcPr>
            <w:tcW w:w="1350" w:type="dxa"/>
            <w:shd w:val="clear" w:color="auto" w:fill="auto"/>
            <w:vAlign w:val="center"/>
          </w:tcPr>
          <w:p w:rsidR="00BB1A36" w:rsidRPr="00936364" w:rsidRDefault="00BB1A36" w:rsidP="007314EE">
            <w:pPr>
              <w:spacing w:after="200" w:line="276" w:lineRule="auto"/>
              <w:jc w:val="center"/>
              <w:rPr>
                <w:b/>
                <w:bCs/>
                <w:sz w:val="24"/>
                <w:szCs w:val="24"/>
                <w:lang w:eastAsia="en-US"/>
              </w:rPr>
            </w:pPr>
            <w:r w:rsidRPr="00936364">
              <w:rPr>
                <w:b/>
                <w:bCs/>
                <w:sz w:val="24"/>
                <w:szCs w:val="24"/>
                <w:lang w:eastAsia="en-US"/>
              </w:rPr>
              <w:t>Bidder’s Remark</w:t>
            </w: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The bidder shall be Oracle University partner and shall present the evidence from Oracle in the technical proposal.</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The successful bidder shall deliver the list of trainings stated in </w:t>
            </w:r>
            <w:r w:rsidRPr="00936364">
              <w:rPr>
                <w:b/>
                <w:i/>
                <w:sz w:val="24"/>
                <w:szCs w:val="24"/>
                <w:lang w:eastAsia="en-US"/>
              </w:rPr>
              <w:fldChar w:fldCharType="begin"/>
            </w:r>
            <w:r w:rsidRPr="00936364">
              <w:rPr>
                <w:b/>
                <w:i/>
                <w:sz w:val="24"/>
                <w:szCs w:val="24"/>
                <w:lang w:eastAsia="en-US"/>
              </w:rPr>
              <w:instrText xml:space="preserve"> REF _Ref11394925 \h  \* MERGEFORMAT </w:instrText>
            </w:r>
            <w:r w:rsidRPr="00936364">
              <w:rPr>
                <w:b/>
                <w:i/>
                <w:sz w:val="24"/>
                <w:szCs w:val="24"/>
                <w:lang w:eastAsia="en-US"/>
              </w:rPr>
            </w:r>
            <w:r w:rsidRPr="00936364">
              <w:rPr>
                <w:b/>
                <w:i/>
                <w:sz w:val="24"/>
                <w:szCs w:val="24"/>
                <w:lang w:eastAsia="en-US"/>
              </w:rPr>
              <w:fldChar w:fldCharType="separate"/>
            </w:r>
            <w:r>
              <w:rPr>
                <w:bCs/>
                <w:i/>
                <w:sz w:val="24"/>
                <w:szCs w:val="24"/>
                <w:lang w:eastAsia="en-US"/>
              </w:rPr>
              <w:t xml:space="preserve">Error! Reference source not </w:t>
            </w:r>
            <w:proofErr w:type="gramStart"/>
            <w:r>
              <w:rPr>
                <w:bCs/>
                <w:i/>
                <w:sz w:val="24"/>
                <w:szCs w:val="24"/>
                <w:lang w:eastAsia="en-US"/>
              </w:rPr>
              <w:t>found.</w:t>
            </w:r>
            <w:r w:rsidRPr="00936364">
              <w:rPr>
                <w:b/>
                <w:i/>
                <w:sz w:val="24"/>
                <w:szCs w:val="24"/>
                <w:lang w:eastAsia="en-US"/>
              </w:rPr>
              <w:fldChar w:fldCharType="end"/>
            </w:r>
            <w:r w:rsidRPr="00936364">
              <w:rPr>
                <w:sz w:val="24"/>
                <w:szCs w:val="24"/>
                <w:lang w:eastAsia="en-US"/>
              </w:rPr>
              <w:t>,</w:t>
            </w:r>
            <w:proofErr w:type="gramEnd"/>
            <w:r w:rsidRPr="00936364">
              <w:rPr>
                <w:sz w:val="24"/>
                <w:szCs w:val="24"/>
                <w:lang w:eastAsia="en-US"/>
              </w:rPr>
              <w:t xml:space="preserve"> for the number of trainees stated in the same table.</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The successful bidder shall provide Oracle University examination vouchers for the certification examinations listed in </w:t>
            </w:r>
            <w:r w:rsidRPr="00936364">
              <w:rPr>
                <w:b/>
                <w:i/>
                <w:sz w:val="24"/>
                <w:szCs w:val="24"/>
                <w:lang w:eastAsia="en-US"/>
              </w:rPr>
              <w:fldChar w:fldCharType="begin"/>
            </w:r>
            <w:r w:rsidRPr="00936364">
              <w:rPr>
                <w:b/>
                <w:i/>
                <w:sz w:val="24"/>
                <w:szCs w:val="24"/>
                <w:lang w:eastAsia="en-US"/>
              </w:rPr>
              <w:instrText xml:space="preserve"> REF _Ref11394502 \h  \* MERGEFORMAT </w:instrText>
            </w:r>
            <w:r w:rsidRPr="00936364">
              <w:rPr>
                <w:b/>
                <w:i/>
                <w:sz w:val="24"/>
                <w:szCs w:val="24"/>
                <w:lang w:eastAsia="en-US"/>
              </w:rPr>
            </w:r>
            <w:r w:rsidRPr="00936364">
              <w:rPr>
                <w:b/>
                <w:i/>
                <w:sz w:val="24"/>
                <w:szCs w:val="24"/>
                <w:lang w:eastAsia="en-US"/>
              </w:rPr>
              <w:fldChar w:fldCharType="separate"/>
            </w:r>
            <w:r>
              <w:rPr>
                <w:bCs/>
                <w:i/>
                <w:sz w:val="24"/>
                <w:szCs w:val="24"/>
                <w:lang w:eastAsia="en-US"/>
              </w:rPr>
              <w:t>Error! Reference source not found.</w:t>
            </w:r>
            <w:r w:rsidRPr="00936364">
              <w:rPr>
                <w:b/>
                <w:i/>
                <w:sz w:val="24"/>
                <w:szCs w:val="24"/>
                <w:lang w:eastAsia="en-US"/>
              </w:rPr>
              <w:fldChar w:fldCharType="end"/>
            </w:r>
            <w:proofErr w:type="gramStart"/>
            <w:r w:rsidRPr="00936364">
              <w:rPr>
                <w:sz w:val="24"/>
                <w:szCs w:val="24"/>
                <w:lang w:eastAsia="en-US"/>
              </w:rPr>
              <w:t>,  with</w:t>
            </w:r>
            <w:proofErr w:type="gramEnd"/>
            <w:r w:rsidRPr="00936364">
              <w:rPr>
                <w:sz w:val="24"/>
                <w:szCs w:val="24"/>
                <w:lang w:eastAsia="en-US"/>
              </w:rPr>
              <w:t xml:space="preserve"> the quantities stated in the same table, and include the price  in its financial offer.</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The successful bidder shall assign trainers certified for the respective trainings and present proof of the certification of the trainer for the training before commencement of the training (after signature of contract) for approval by the bank. The bank will only accept certified trainers for the respective trainings. </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Standard curriculum and recommended training duration (“regular track”, and not “fast track”) of Oracle must be used with the recommended training facilities. </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The bidder shall conduct the training in Addis Ababa, Ethiopia.</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Classroom (instructor led) training shall be delivered, with the instructor in the same location as the trainees (not remotely)</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Remote labs are allowed but the training provider shall agree to take full responsibility for any delays (including delays caused by Internet disconnections) and to make up for such delays. The bidder shall state what kind of labs it plans to use (local, remote, </w:t>
            </w:r>
            <w:proofErr w:type="spellStart"/>
            <w:r w:rsidRPr="00936364">
              <w:rPr>
                <w:sz w:val="24"/>
                <w:szCs w:val="24"/>
                <w:lang w:eastAsia="en-US"/>
              </w:rPr>
              <w:t>etc</w:t>
            </w:r>
            <w:proofErr w:type="spellEnd"/>
            <w:r w:rsidRPr="00936364">
              <w:rPr>
                <w:sz w:val="24"/>
                <w:szCs w:val="24"/>
                <w:lang w:eastAsia="en-US"/>
              </w:rPr>
              <w:t>) in the “</w:t>
            </w:r>
            <w:r w:rsidRPr="00936364">
              <w:rPr>
                <w:b/>
                <w:sz w:val="24"/>
                <w:szCs w:val="24"/>
                <w:lang w:eastAsia="en-US"/>
              </w:rPr>
              <w:t>Remark</w:t>
            </w:r>
            <w:r w:rsidRPr="00936364">
              <w:rPr>
                <w:sz w:val="24"/>
                <w:szCs w:val="24"/>
                <w:lang w:eastAsia="en-US"/>
              </w:rPr>
              <w:t>” column of this requirement.</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Official training material shall be provided for each trainee as per the Oracle University standard.</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20"/>
              <w:ind w:left="173"/>
              <w:jc w:val="both"/>
              <w:outlineLvl w:val="4"/>
              <w:rPr>
                <w:sz w:val="24"/>
                <w:szCs w:val="24"/>
                <w:lang w:eastAsia="en-US"/>
              </w:rPr>
            </w:pPr>
            <w:r w:rsidRPr="00936364">
              <w:rPr>
                <w:sz w:val="24"/>
                <w:szCs w:val="24"/>
                <w:lang w:eastAsia="en-US"/>
              </w:rPr>
              <w:t xml:space="preserve">The bidder shall be willing to schedule the trainings as per the priorities of the bank and commence the trainings within four weeks after signature of contract. </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52" w:line="276" w:lineRule="auto"/>
              <w:ind w:left="4" w:firstLine="3"/>
              <w:jc w:val="both"/>
              <w:rPr>
                <w:rFonts w:ascii="Calibri" w:eastAsia="Calibri" w:hAnsi="Calibri"/>
                <w:sz w:val="24"/>
                <w:szCs w:val="24"/>
                <w:lang w:eastAsia="en-US"/>
              </w:rPr>
            </w:pPr>
            <w:r w:rsidRPr="00936364">
              <w:rPr>
                <w:rFonts w:eastAsia="Tahoma"/>
                <w:sz w:val="24"/>
                <w:szCs w:val="24"/>
                <w:lang w:eastAsia="en-US"/>
              </w:rPr>
              <w:t>The bidder shall agree to divide the trainings into durations of not more than three continuous weeks. Minor adjustment of not more than three days in consultation with the bank can be considered. In between consecutive training periods, there shall be a gap with a duration of at least the previous consecutive training period and at most one week longer than the previous consecutive training period. (For example, if the trainings were conducted for three weeks, there shall be a minimum of three weeks and a maximum of four weeks gap before continuing with other trainings).</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r w:rsidR="00BB1A36" w:rsidRPr="00936364" w:rsidTr="007314EE">
        <w:trPr>
          <w:cantSplit/>
        </w:trPr>
        <w:tc>
          <w:tcPr>
            <w:tcW w:w="642" w:type="dxa"/>
            <w:shd w:val="clear" w:color="auto" w:fill="auto"/>
            <w:noWrap/>
          </w:tcPr>
          <w:p w:rsidR="00BB1A36" w:rsidRPr="00936364" w:rsidRDefault="00BB1A36" w:rsidP="00BB1A36">
            <w:pPr>
              <w:numPr>
                <w:ilvl w:val="0"/>
                <w:numId w:val="2"/>
              </w:numPr>
              <w:tabs>
                <w:tab w:val="left" w:pos="431"/>
              </w:tabs>
              <w:spacing w:after="160" w:line="276" w:lineRule="auto"/>
              <w:ind w:left="431" w:right="20"/>
              <w:contextualSpacing/>
              <w:rPr>
                <w:sz w:val="24"/>
                <w:szCs w:val="24"/>
                <w:lang w:eastAsia="en-US"/>
              </w:rPr>
            </w:pPr>
          </w:p>
        </w:tc>
        <w:tc>
          <w:tcPr>
            <w:tcW w:w="5587" w:type="dxa"/>
            <w:shd w:val="clear" w:color="auto" w:fill="auto"/>
          </w:tcPr>
          <w:p w:rsidR="00BB1A36" w:rsidRPr="00936364" w:rsidRDefault="00BB1A36" w:rsidP="007314EE">
            <w:pPr>
              <w:spacing w:after="152" w:line="276" w:lineRule="auto"/>
              <w:ind w:left="4" w:firstLine="3"/>
              <w:jc w:val="both"/>
              <w:rPr>
                <w:rFonts w:eastAsia="Tahoma"/>
                <w:sz w:val="24"/>
                <w:szCs w:val="24"/>
                <w:lang w:eastAsia="en-US"/>
              </w:rPr>
            </w:pPr>
            <w:r w:rsidRPr="00936364">
              <w:rPr>
                <w:rFonts w:eastAsia="Tahoma"/>
                <w:sz w:val="24"/>
                <w:szCs w:val="24"/>
                <w:lang w:eastAsia="en-US"/>
              </w:rPr>
              <w:t>The bidder shall agree that the trainings shall be delivered from 8:00 AM to 5:00 PM from Monday to Friday excluding public holidays in Ethiopia. In consultation with the bank, the training times can be extended by up two hours per day or include Saturdays, but not both in any given week.</w:t>
            </w:r>
          </w:p>
        </w:tc>
        <w:tc>
          <w:tcPr>
            <w:tcW w:w="1596" w:type="dxa"/>
            <w:shd w:val="clear" w:color="auto" w:fill="auto"/>
          </w:tcPr>
          <w:p w:rsidR="00BB1A36" w:rsidRPr="00936364" w:rsidRDefault="00BB1A36" w:rsidP="007314EE">
            <w:pPr>
              <w:spacing w:after="200" w:line="276" w:lineRule="auto"/>
              <w:jc w:val="both"/>
              <w:rPr>
                <w:sz w:val="24"/>
                <w:szCs w:val="24"/>
                <w:lang w:eastAsia="en-US"/>
              </w:rPr>
            </w:pPr>
          </w:p>
        </w:tc>
        <w:tc>
          <w:tcPr>
            <w:tcW w:w="1350" w:type="dxa"/>
            <w:shd w:val="clear" w:color="auto" w:fill="auto"/>
            <w:vAlign w:val="center"/>
          </w:tcPr>
          <w:p w:rsidR="00BB1A36" w:rsidRPr="00936364" w:rsidRDefault="00BB1A36" w:rsidP="007314EE">
            <w:pPr>
              <w:spacing w:after="200" w:line="276" w:lineRule="auto"/>
              <w:jc w:val="center"/>
              <w:rPr>
                <w:sz w:val="24"/>
                <w:szCs w:val="24"/>
                <w:lang w:eastAsia="en-US"/>
              </w:rPr>
            </w:pPr>
          </w:p>
        </w:tc>
      </w:tr>
    </w:tbl>
    <w:p w:rsidR="00BB1A36" w:rsidRDefault="00BB1A36" w:rsidP="00BB1A36"/>
    <w:p w:rsidR="00BB1A36" w:rsidRDefault="00BB1A36" w:rsidP="00BB1A36"/>
    <w:p w:rsidR="00BB1A36" w:rsidRDefault="00BB1A36" w:rsidP="00BB1A36">
      <w:pPr>
        <w:rPr>
          <w:b/>
        </w:rPr>
      </w:pPr>
    </w:p>
    <w:p w:rsidR="00E61064" w:rsidRDefault="00E61064"/>
    <w:sectPr w:rsidR="00E6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F1C9A"/>
    <w:multiLevelType w:val="hybridMultilevel"/>
    <w:tmpl w:val="D95C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4588D"/>
    <w:multiLevelType w:val="multilevel"/>
    <w:tmpl w:val="F81836F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777"/>
        </w:tabs>
        <w:ind w:left="777"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36"/>
    <w:rsid w:val="00BB1A36"/>
    <w:rsid w:val="00E6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91614-0A20-4EAD-BFE9-5CFA3C60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A36"/>
    <w:pPr>
      <w:spacing w:after="0" w:line="240" w:lineRule="auto"/>
    </w:pPr>
    <w:rPr>
      <w:rFonts w:ascii="Times New Roman" w:eastAsia="Times New Roman" w:hAnsi="Times New Roman" w:cs="Times New Roman"/>
      <w:lang w:eastAsia="fr-FR"/>
    </w:rPr>
  </w:style>
  <w:style w:type="paragraph" w:styleId="Heading8">
    <w:name w:val="heading 8"/>
    <w:basedOn w:val="Normal"/>
    <w:next w:val="Normal"/>
    <w:link w:val="Heading8Char"/>
    <w:qFormat/>
    <w:rsid w:val="00BB1A36"/>
    <w:pPr>
      <w:numPr>
        <w:ilvl w:val="7"/>
        <w:numId w:val="1"/>
      </w:numPr>
      <w:spacing w:before="240"/>
      <w:outlineLvl w:val="7"/>
    </w:pPr>
    <w:rPr>
      <w:i/>
      <w:iCs/>
      <w:szCs w:val="24"/>
    </w:rPr>
  </w:style>
  <w:style w:type="paragraph" w:styleId="Heading9">
    <w:name w:val="heading 9"/>
    <w:basedOn w:val="Normal"/>
    <w:next w:val="Normal"/>
    <w:link w:val="Heading9Char"/>
    <w:qFormat/>
    <w:rsid w:val="00BB1A36"/>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BB1A36"/>
    <w:rPr>
      <w:rFonts w:ascii="Times New Roman" w:eastAsia="Times New Roman" w:hAnsi="Times New Roman" w:cs="Times New Roman"/>
      <w:i/>
      <w:iCs/>
      <w:szCs w:val="24"/>
      <w:lang w:eastAsia="fr-FR"/>
    </w:rPr>
  </w:style>
  <w:style w:type="character" w:customStyle="1" w:styleId="Heading9Char">
    <w:name w:val="Heading 9 Char"/>
    <w:basedOn w:val="DefaultParagraphFont"/>
    <w:link w:val="Heading9"/>
    <w:rsid w:val="00BB1A36"/>
    <w:rPr>
      <w:rFonts w:ascii="Arial" w:eastAsia="Times New Roman" w:hAnsi="Arial" w:cs="Arial"/>
      <w:lang w:eastAsia="fr-FR"/>
    </w:rPr>
  </w:style>
  <w:style w:type="paragraph" w:customStyle="1" w:styleId="SBDSection-Style16ptLeftLeft15cmBefore3ptAfter3pt">
    <w:name w:val="SBD Section-Style 16 pt Left Left:  1.5 cm Before:  3 pt After:  3 pt"/>
    <w:basedOn w:val="Normal"/>
    <w:rsid w:val="00BB1A36"/>
    <w:pPr>
      <w:numPr>
        <w:ilvl w:val="1"/>
        <w:numId w:val="1"/>
      </w:numPr>
      <w:spacing w:before="120" w:after="120"/>
      <w:outlineLvl w:val="1"/>
    </w:pPr>
    <w:rPr>
      <w:b/>
      <w:sz w:val="36"/>
    </w:rPr>
  </w:style>
  <w:style w:type="paragraph" w:customStyle="1" w:styleId="StyleSBDGeneralStyle14ptBoldBold">
    <w:name w:val="Style SBD General Style 14 pt Bold + Bold"/>
    <w:basedOn w:val="Normal"/>
    <w:rsid w:val="00BB1A36"/>
    <w:pPr>
      <w:numPr>
        <w:ilvl w:val="2"/>
        <w:numId w:val="1"/>
      </w:numPr>
      <w:spacing w:before="60" w:after="60"/>
      <w:jc w:val="center"/>
      <w:outlineLvl w:val="2"/>
    </w:pPr>
    <w:rPr>
      <w:bCs/>
      <w:sz w:val="28"/>
      <w:szCs w:val="28"/>
      <w:lang w:val="en-GB"/>
    </w:rPr>
  </w:style>
  <w:style w:type="paragraph" w:customStyle="1" w:styleId="Section6-Para">
    <w:name w:val="Section 6-Para"/>
    <w:basedOn w:val="StyleSBDGeneralStyle14ptBoldBold"/>
    <w:rsid w:val="00BB1A3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M. Tadele</dc:creator>
  <cp:keywords/>
  <dc:description/>
  <cp:lastModifiedBy>Mikiyas M. Tadele</cp:lastModifiedBy>
  <cp:revision>1</cp:revision>
  <dcterms:created xsi:type="dcterms:W3CDTF">2019-09-03T12:25:00Z</dcterms:created>
  <dcterms:modified xsi:type="dcterms:W3CDTF">2019-09-03T12:25:00Z</dcterms:modified>
</cp:coreProperties>
</file>