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EB9" w:rsidRPr="00C618B5" w:rsidRDefault="00123EB9" w:rsidP="00C618B5">
      <w:pPr>
        <w:pStyle w:val="Heading1"/>
        <w:jc w:val="both"/>
        <w:rPr>
          <w:rFonts w:ascii="Times New Roman" w:hAnsi="Times New Roman"/>
          <w:sz w:val="28"/>
          <w:szCs w:val="24"/>
          <w:lang w:val="en-GB"/>
        </w:rPr>
      </w:pPr>
      <w:r w:rsidRPr="00C618B5">
        <w:rPr>
          <w:rFonts w:ascii="Times New Roman" w:hAnsi="Times New Roman"/>
          <w:sz w:val="28"/>
          <w:szCs w:val="24"/>
          <w:lang w:val="en-GB"/>
        </w:rPr>
        <w:t xml:space="preserve">Title: </w:t>
      </w:r>
      <w:r w:rsidR="00DD35A8" w:rsidRPr="00C618B5">
        <w:rPr>
          <w:rFonts w:ascii="Times New Roman" w:hAnsi="Times New Roman"/>
          <w:sz w:val="28"/>
          <w:szCs w:val="24"/>
          <w:lang w:val="en-GB"/>
        </w:rPr>
        <w:t>Building stock – area of existing, demolished and new buildings</w:t>
      </w:r>
    </w:p>
    <w:p w:rsidR="00DD35A8" w:rsidRPr="00C618B5" w:rsidRDefault="00820EF2" w:rsidP="00C618B5">
      <w:pPr>
        <w:pStyle w:val="Heading1"/>
        <w:jc w:val="both"/>
        <w:rPr>
          <w:rFonts w:ascii="Times New Roman" w:hAnsi="Times New Roman"/>
          <w:sz w:val="24"/>
          <w:szCs w:val="24"/>
          <w:lang w:val="en-GB"/>
        </w:rPr>
      </w:pPr>
      <w:r w:rsidRPr="00C618B5">
        <w:rPr>
          <w:rFonts w:ascii="Times New Roman" w:hAnsi="Times New Roman"/>
          <w:sz w:val="24"/>
          <w:szCs w:val="24"/>
          <w:lang w:val="en-GB"/>
        </w:rPr>
        <w:t>Description</w:t>
      </w:r>
      <w:r w:rsidR="00DD35A8" w:rsidRPr="00C618B5">
        <w:rPr>
          <w:rFonts w:ascii="Times New Roman" w:hAnsi="Times New Roman"/>
          <w:sz w:val="24"/>
          <w:szCs w:val="24"/>
          <w:lang w:val="en-GB"/>
        </w:rPr>
        <w:t xml:space="preserve">: </w:t>
      </w:r>
    </w:p>
    <w:p w:rsidR="00DD35A8" w:rsidRPr="00C618B5" w:rsidRDefault="00DD35A8" w:rsidP="00C618B5">
      <w:pPr>
        <w:pStyle w:val="Heading1"/>
        <w:jc w:val="both"/>
        <w:rPr>
          <w:rFonts w:ascii="Times New Roman" w:hAnsi="Times New Roman"/>
          <w:b w:val="0"/>
          <w:sz w:val="24"/>
          <w:szCs w:val="24"/>
          <w:lang w:val="en-GB"/>
        </w:rPr>
      </w:pPr>
      <w:r w:rsidRPr="00C618B5">
        <w:rPr>
          <w:rFonts w:ascii="Times New Roman" w:hAnsi="Times New Roman"/>
          <w:b w:val="0"/>
          <w:sz w:val="24"/>
          <w:szCs w:val="24"/>
          <w:lang w:val="en-GB"/>
        </w:rPr>
        <w:t>Future demand for heated residential area includes buildings existing in Base Year and buildings built after Base Year:</w:t>
      </w:r>
    </w:p>
    <w:p w:rsidR="00DD35A8" w:rsidRPr="00C618B5" w:rsidRDefault="00862E57" w:rsidP="00C618B5">
      <w:pPr>
        <w:pStyle w:val="Heading1"/>
        <w:jc w:val="both"/>
        <w:rPr>
          <w:rFonts w:ascii="Times New Roman" w:hAnsi="Times New Roman"/>
          <w:b w:val="0"/>
          <w:sz w:val="24"/>
          <w:szCs w:val="24"/>
          <w:lang w:val="en-GB"/>
        </w:rPr>
      </w:pPr>
      <m:oMath>
        <m:sSub>
          <m:sSubPr>
            <m:ctrlPr>
              <w:rPr>
                <w:rFonts w:ascii="Cambria Math" w:hAnsi="Cambria Math"/>
                <w:b w:val="0"/>
                <w:i/>
                <w:iCs/>
                <w:sz w:val="24"/>
                <w:szCs w:val="24"/>
                <w:lang w:val="en-GB"/>
              </w:rPr>
            </m:ctrlPr>
          </m:sSubPr>
          <m:e>
            <m:r>
              <m:rPr>
                <m:sty m:val="bi"/>
              </m:rPr>
              <w:rPr>
                <w:rFonts w:ascii="Cambria Math" w:hAnsi="Cambria Math"/>
                <w:sz w:val="24"/>
                <w:szCs w:val="24"/>
                <w:lang w:val="en-GB"/>
              </w:rPr>
              <m:t>Demand</m:t>
            </m:r>
          </m:e>
          <m:sub>
            <m:r>
              <m:rPr>
                <m:sty m:val="bi"/>
              </m:rPr>
              <w:rPr>
                <w:rFonts w:ascii="Cambria Math" w:hAnsi="Cambria Math"/>
                <w:sz w:val="24"/>
                <w:szCs w:val="24"/>
                <w:lang w:val="en-GB"/>
              </w:rPr>
              <m:t>t</m:t>
            </m:r>
          </m:sub>
        </m:sSub>
        <m:r>
          <m:rPr>
            <m:sty m:val="bi"/>
          </m:rPr>
          <w:rPr>
            <w:rFonts w:ascii="Cambria Math" w:hAnsi="Cambria Math"/>
            <w:sz w:val="24"/>
            <w:szCs w:val="24"/>
            <w:lang w:val="en-GB"/>
          </w:rPr>
          <m:t>=</m:t>
        </m:r>
      </m:oMath>
      <w:r w:rsidR="00DD35A8" w:rsidRPr="00C618B5">
        <w:rPr>
          <w:rFonts w:ascii="Times New Roman" w:hAnsi="Times New Roman"/>
          <w:b w:val="0"/>
          <w:sz w:val="24"/>
          <w:szCs w:val="24"/>
          <w:lang w:val="en-GB"/>
        </w:rPr>
        <w:t xml:space="preserve"> </w:t>
      </w:r>
      <m:oMath>
        <m:r>
          <m:rPr>
            <m:sty m:val="bi"/>
          </m:rPr>
          <w:rPr>
            <w:rFonts w:ascii="Cambria Math" w:hAnsi="Cambria Math"/>
            <w:sz w:val="24"/>
            <w:szCs w:val="24"/>
            <w:lang w:val="en-GB"/>
          </w:rPr>
          <m:t>Base+</m:t>
        </m:r>
        <m:sSub>
          <m:sSubPr>
            <m:ctrlPr>
              <w:rPr>
                <w:rFonts w:ascii="Cambria Math" w:hAnsi="Cambria Math"/>
                <w:b w:val="0"/>
                <w:i/>
                <w:iCs/>
                <w:sz w:val="24"/>
                <w:szCs w:val="24"/>
                <w:lang w:val="en-GB"/>
              </w:rPr>
            </m:ctrlPr>
          </m:sSubPr>
          <m:e>
            <m:r>
              <m:rPr>
                <m:sty m:val="bi"/>
              </m:rPr>
              <w:rPr>
                <w:rFonts w:ascii="Cambria Math" w:hAnsi="Cambria Math"/>
                <w:sz w:val="24"/>
                <w:szCs w:val="24"/>
                <w:lang w:val="en-GB"/>
              </w:rPr>
              <m:t>New</m:t>
            </m:r>
          </m:e>
          <m:sub>
            <m:r>
              <m:rPr>
                <m:sty m:val="bi"/>
              </m:rPr>
              <w:rPr>
                <w:rFonts w:ascii="Cambria Math" w:hAnsi="Cambria Math"/>
                <w:sz w:val="24"/>
                <w:szCs w:val="24"/>
                <w:lang w:val="en-GB"/>
              </w:rPr>
              <m:t>t</m:t>
            </m:r>
          </m:sub>
        </m:sSub>
        <m:r>
          <m:rPr>
            <m:sty m:val="bi"/>
          </m:rPr>
          <w:rPr>
            <w:rFonts w:ascii="Cambria Math" w:hAnsi="Cambria Math"/>
            <w:sz w:val="24"/>
            <w:szCs w:val="24"/>
            <w:lang w:val="en-GB"/>
          </w:rPr>
          <m:t>-</m:t>
        </m:r>
        <m:sSub>
          <m:sSubPr>
            <m:ctrlPr>
              <w:rPr>
                <w:rFonts w:ascii="Cambria Math" w:hAnsi="Cambria Math"/>
                <w:b w:val="0"/>
                <w:i/>
                <w:iCs/>
                <w:sz w:val="24"/>
                <w:szCs w:val="24"/>
                <w:lang w:val="en-GB"/>
              </w:rPr>
            </m:ctrlPr>
          </m:sSubPr>
          <m:e>
            <m:r>
              <m:rPr>
                <m:sty m:val="bi"/>
              </m:rPr>
              <w:rPr>
                <w:rFonts w:ascii="Cambria Math" w:hAnsi="Cambria Math"/>
                <w:sz w:val="24"/>
                <w:szCs w:val="24"/>
                <w:lang w:val="en-GB"/>
              </w:rPr>
              <m:t>Demol</m:t>
            </m:r>
          </m:e>
          <m:sub>
            <m:r>
              <m:rPr>
                <m:sty m:val="bi"/>
              </m:rPr>
              <w:rPr>
                <w:rFonts w:ascii="Cambria Math" w:hAnsi="Cambria Math"/>
                <w:sz w:val="24"/>
                <w:szCs w:val="24"/>
                <w:lang w:val="en-GB"/>
              </w:rPr>
              <m:t>t</m:t>
            </m:r>
          </m:sub>
        </m:sSub>
      </m:oMath>
    </w:p>
    <w:p w:rsidR="00DD35A8" w:rsidRPr="00C618B5" w:rsidRDefault="00862E57" w:rsidP="00C618B5">
      <w:pPr>
        <w:pStyle w:val="Heading1"/>
        <w:jc w:val="both"/>
        <w:rPr>
          <w:rFonts w:ascii="Times New Roman" w:hAnsi="Times New Roman"/>
          <w:b w:val="0"/>
          <w:sz w:val="24"/>
          <w:szCs w:val="24"/>
          <w:lang w:val="en-GB"/>
        </w:rPr>
      </w:pPr>
      <m:oMath>
        <m:sSub>
          <m:sSubPr>
            <m:ctrlPr>
              <w:rPr>
                <w:rFonts w:ascii="Cambria Math" w:hAnsi="Cambria Math"/>
                <w:b w:val="0"/>
                <w:i/>
                <w:iCs/>
                <w:sz w:val="24"/>
                <w:szCs w:val="24"/>
                <w:lang w:val="en-GB"/>
              </w:rPr>
            </m:ctrlPr>
          </m:sSubPr>
          <m:e>
            <m:r>
              <m:rPr>
                <m:sty m:val="bi"/>
              </m:rPr>
              <w:rPr>
                <w:rFonts w:ascii="Cambria Math" w:hAnsi="Cambria Math"/>
                <w:sz w:val="24"/>
                <w:szCs w:val="24"/>
                <w:lang w:val="en-GB"/>
              </w:rPr>
              <m:t>Demand</m:t>
            </m:r>
          </m:e>
          <m:sub>
            <m:r>
              <m:rPr>
                <m:sty m:val="bi"/>
              </m:rPr>
              <w:rPr>
                <w:rFonts w:ascii="Cambria Math" w:hAnsi="Cambria Math"/>
                <w:sz w:val="24"/>
                <w:szCs w:val="24"/>
                <w:lang w:val="en-GB"/>
              </w:rPr>
              <m:t>t</m:t>
            </m:r>
          </m:sub>
        </m:sSub>
      </m:oMath>
      <w:r w:rsidR="00DD35A8" w:rsidRPr="00C618B5">
        <w:rPr>
          <w:rFonts w:ascii="Times New Roman" w:hAnsi="Times New Roman"/>
          <w:b w:val="0"/>
          <w:sz w:val="24"/>
          <w:szCs w:val="24"/>
          <w:lang w:val="en-GB"/>
        </w:rPr>
        <w:t xml:space="preserve"> - </w:t>
      </w:r>
      <w:r w:rsidR="00C618B5" w:rsidRPr="00C618B5">
        <w:rPr>
          <w:rFonts w:ascii="Times New Roman" w:hAnsi="Times New Roman"/>
          <w:b w:val="0"/>
          <w:sz w:val="24"/>
          <w:szCs w:val="24"/>
          <w:lang w:val="en-GB"/>
        </w:rPr>
        <w:t>Housing</w:t>
      </w:r>
      <w:r w:rsidR="00DD35A8" w:rsidRPr="00C618B5">
        <w:rPr>
          <w:rFonts w:ascii="Times New Roman" w:hAnsi="Times New Roman"/>
          <w:b w:val="0"/>
          <w:sz w:val="24"/>
          <w:szCs w:val="24"/>
          <w:lang w:val="en-GB"/>
        </w:rPr>
        <w:t xml:space="preserve"> demand in year t. This is projected by DREAM group.</w:t>
      </w:r>
    </w:p>
    <w:p w:rsidR="00DD35A8" w:rsidRPr="00C618B5" w:rsidRDefault="00DD35A8" w:rsidP="00C618B5">
      <w:pPr>
        <w:pStyle w:val="Heading1"/>
        <w:jc w:val="both"/>
        <w:rPr>
          <w:rFonts w:ascii="Times New Roman" w:hAnsi="Times New Roman"/>
          <w:b w:val="0"/>
          <w:sz w:val="24"/>
          <w:szCs w:val="24"/>
          <w:lang w:val="en-GB"/>
        </w:rPr>
      </w:pPr>
      <m:oMath>
        <m:r>
          <m:rPr>
            <m:sty m:val="bi"/>
          </m:rPr>
          <w:rPr>
            <w:rFonts w:ascii="Cambria Math" w:hAnsi="Cambria Math"/>
            <w:sz w:val="24"/>
            <w:szCs w:val="24"/>
            <w:lang w:val="en-GB"/>
          </w:rPr>
          <m:t>Base</m:t>
        </m:r>
      </m:oMath>
      <w:r w:rsidRPr="00C618B5">
        <w:rPr>
          <w:rFonts w:ascii="Times New Roman" w:hAnsi="Times New Roman"/>
          <w:b w:val="0"/>
          <w:sz w:val="24"/>
          <w:szCs w:val="24"/>
          <w:lang w:val="en-GB"/>
        </w:rPr>
        <w:t xml:space="preserve"> - </w:t>
      </w:r>
      <w:proofErr w:type="gramStart"/>
      <w:r w:rsidRPr="00C618B5">
        <w:rPr>
          <w:rFonts w:ascii="Times New Roman" w:hAnsi="Times New Roman"/>
          <w:b w:val="0"/>
          <w:sz w:val="24"/>
          <w:szCs w:val="24"/>
          <w:lang w:val="en-GB"/>
        </w:rPr>
        <w:t>area</w:t>
      </w:r>
      <w:proofErr w:type="gramEnd"/>
      <w:r w:rsidRPr="00C618B5">
        <w:rPr>
          <w:rFonts w:ascii="Times New Roman" w:hAnsi="Times New Roman"/>
          <w:b w:val="0"/>
          <w:sz w:val="24"/>
          <w:szCs w:val="24"/>
          <w:lang w:val="en-GB"/>
        </w:rPr>
        <w:t xml:space="preserve"> in Base Year. This comes from DTU Energy Atlas based on BBR dataset.</w:t>
      </w:r>
    </w:p>
    <w:p w:rsidR="00DD35A8" w:rsidRPr="00C618B5" w:rsidRDefault="00862E57" w:rsidP="00C618B5">
      <w:pPr>
        <w:pStyle w:val="Heading1"/>
        <w:jc w:val="both"/>
        <w:rPr>
          <w:rFonts w:ascii="Times New Roman" w:hAnsi="Times New Roman"/>
          <w:b w:val="0"/>
          <w:sz w:val="24"/>
          <w:szCs w:val="24"/>
          <w:lang w:val="en-GB"/>
        </w:rPr>
      </w:pPr>
      <m:oMath>
        <m:sSub>
          <m:sSubPr>
            <m:ctrlPr>
              <w:rPr>
                <w:rFonts w:ascii="Cambria Math" w:hAnsi="Cambria Math"/>
                <w:b w:val="0"/>
                <w:i/>
                <w:iCs/>
                <w:sz w:val="24"/>
                <w:szCs w:val="24"/>
                <w:lang w:val="en-GB"/>
              </w:rPr>
            </m:ctrlPr>
          </m:sSubPr>
          <m:e>
            <m:r>
              <m:rPr>
                <m:sty m:val="bi"/>
              </m:rPr>
              <w:rPr>
                <w:rFonts w:ascii="Cambria Math" w:hAnsi="Cambria Math"/>
                <w:sz w:val="24"/>
                <w:szCs w:val="24"/>
                <w:lang w:val="en-GB"/>
              </w:rPr>
              <m:t>New</m:t>
            </m:r>
          </m:e>
          <m:sub>
            <m:r>
              <m:rPr>
                <m:sty m:val="bi"/>
              </m:rPr>
              <w:rPr>
                <w:rFonts w:ascii="Cambria Math" w:hAnsi="Cambria Math"/>
                <w:sz w:val="24"/>
                <w:szCs w:val="24"/>
                <w:lang w:val="en-GB"/>
              </w:rPr>
              <m:t>t</m:t>
            </m:r>
          </m:sub>
        </m:sSub>
      </m:oMath>
      <w:r w:rsidR="00DD35A8" w:rsidRPr="00C618B5">
        <w:rPr>
          <w:rFonts w:ascii="Times New Roman" w:hAnsi="Times New Roman"/>
          <w:b w:val="0"/>
          <w:sz w:val="24"/>
          <w:szCs w:val="24"/>
          <w:lang w:val="en-GB"/>
        </w:rPr>
        <w:t xml:space="preserve"> - </w:t>
      </w:r>
      <w:proofErr w:type="gramStart"/>
      <w:r w:rsidR="00DD35A8" w:rsidRPr="00C618B5">
        <w:rPr>
          <w:rFonts w:ascii="Times New Roman" w:hAnsi="Times New Roman"/>
          <w:b w:val="0"/>
          <w:sz w:val="24"/>
          <w:szCs w:val="24"/>
          <w:lang w:val="en-GB"/>
        </w:rPr>
        <w:t>area</w:t>
      </w:r>
      <w:proofErr w:type="gramEnd"/>
      <w:r w:rsidR="00DD35A8" w:rsidRPr="00C618B5">
        <w:rPr>
          <w:rFonts w:ascii="Times New Roman" w:hAnsi="Times New Roman"/>
          <w:b w:val="0"/>
          <w:sz w:val="24"/>
          <w:szCs w:val="24"/>
          <w:lang w:val="en-GB"/>
        </w:rPr>
        <w:t xml:space="preserve"> built between Base year and year t</w:t>
      </w:r>
    </w:p>
    <w:p w:rsidR="00DD35A8" w:rsidRPr="00C618B5" w:rsidRDefault="00862E57" w:rsidP="00C618B5">
      <w:pPr>
        <w:pStyle w:val="Heading1"/>
        <w:jc w:val="both"/>
        <w:rPr>
          <w:rFonts w:ascii="Times New Roman" w:hAnsi="Times New Roman"/>
          <w:b w:val="0"/>
          <w:sz w:val="24"/>
          <w:szCs w:val="24"/>
          <w:lang w:val="en-GB"/>
        </w:rPr>
      </w:pPr>
      <m:oMath>
        <m:sSub>
          <m:sSubPr>
            <m:ctrlPr>
              <w:rPr>
                <w:rFonts w:ascii="Cambria Math" w:hAnsi="Cambria Math"/>
                <w:b w:val="0"/>
                <w:i/>
                <w:iCs/>
                <w:sz w:val="24"/>
                <w:szCs w:val="24"/>
                <w:lang w:val="en-GB"/>
              </w:rPr>
            </m:ctrlPr>
          </m:sSubPr>
          <m:e>
            <m:r>
              <m:rPr>
                <m:sty m:val="bi"/>
              </m:rPr>
              <w:rPr>
                <w:rFonts w:ascii="Cambria Math" w:hAnsi="Cambria Math"/>
                <w:sz w:val="24"/>
                <w:szCs w:val="24"/>
                <w:lang w:val="en-GB"/>
              </w:rPr>
              <m:t>Demol</m:t>
            </m:r>
          </m:e>
          <m:sub>
            <m:r>
              <m:rPr>
                <m:sty m:val="bi"/>
              </m:rPr>
              <w:rPr>
                <w:rFonts w:ascii="Cambria Math" w:hAnsi="Cambria Math"/>
                <w:sz w:val="24"/>
                <w:szCs w:val="24"/>
                <w:lang w:val="en-GB"/>
              </w:rPr>
              <m:t>t</m:t>
            </m:r>
          </m:sub>
        </m:sSub>
      </m:oMath>
      <w:r w:rsidR="00DD35A8" w:rsidRPr="00C618B5">
        <w:rPr>
          <w:rFonts w:ascii="Times New Roman" w:hAnsi="Times New Roman"/>
          <w:b w:val="0"/>
          <w:sz w:val="24"/>
          <w:szCs w:val="24"/>
          <w:lang w:val="en-GB"/>
        </w:rPr>
        <w:t xml:space="preserve"> - </w:t>
      </w:r>
      <w:proofErr w:type="gramStart"/>
      <w:r w:rsidR="00DD35A8" w:rsidRPr="00C618B5">
        <w:rPr>
          <w:rFonts w:ascii="Times New Roman" w:hAnsi="Times New Roman"/>
          <w:b w:val="0"/>
          <w:sz w:val="24"/>
          <w:szCs w:val="24"/>
          <w:lang w:val="en-GB"/>
        </w:rPr>
        <w:t>area</w:t>
      </w:r>
      <w:proofErr w:type="gramEnd"/>
      <w:r w:rsidR="00DD35A8" w:rsidRPr="00C618B5">
        <w:rPr>
          <w:rFonts w:ascii="Times New Roman" w:hAnsi="Times New Roman"/>
          <w:b w:val="0"/>
          <w:sz w:val="24"/>
          <w:szCs w:val="24"/>
          <w:lang w:val="en-GB"/>
        </w:rPr>
        <w:t xml:space="preserve"> demolished between Base year and year t</w:t>
      </w:r>
    </w:p>
    <w:p w:rsidR="00DD35A8" w:rsidRPr="00C618B5" w:rsidRDefault="00DD35A8" w:rsidP="00C618B5">
      <w:pPr>
        <w:pStyle w:val="Heading1"/>
        <w:jc w:val="both"/>
        <w:rPr>
          <w:rFonts w:ascii="Times New Roman" w:hAnsi="Times New Roman"/>
          <w:b w:val="0"/>
          <w:sz w:val="24"/>
          <w:szCs w:val="24"/>
          <w:lang w:val="en-GB"/>
        </w:rPr>
      </w:pPr>
      <w:r w:rsidRPr="00C618B5">
        <w:rPr>
          <w:rFonts w:ascii="Times New Roman" w:hAnsi="Times New Roman"/>
          <w:b w:val="0"/>
          <w:sz w:val="24"/>
          <w:szCs w:val="24"/>
          <w:lang w:val="en-GB"/>
        </w:rPr>
        <w:t xml:space="preserve">Future </w:t>
      </w:r>
      <w:r w:rsidR="00DD02E4" w:rsidRPr="00C618B5">
        <w:rPr>
          <w:rFonts w:ascii="Times New Roman" w:hAnsi="Times New Roman"/>
          <w:b w:val="0"/>
          <w:sz w:val="24"/>
          <w:szCs w:val="24"/>
          <w:lang w:val="en-GB"/>
        </w:rPr>
        <w:t xml:space="preserve">housing </w:t>
      </w:r>
      <w:r w:rsidRPr="00C618B5">
        <w:rPr>
          <w:rFonts w:ascii="Times New Roman" w:hAnsi="Times New Roman"/>
          <w:b w:val="0"/>
          <w:sz w:val="24"/>
          <w:szCs w:val="24"/>
          <w:lang w:val="en-GB"/>
        </w:rPr>
        <w:t>demand has been grouped by Region (DKE and DKW), position relative to existing</w:t>
      </w:r>
      <w:r w:rsidR="00DD02E4" w:rsidRPr="00C618B5">
        <w:rPr>
          <w:rFonts w:ascii="Times New Roman" w:hAnsi="Times New Roman"/>
          <w:b w:val="0"/>
          <w:sz w:val="24"/>
          <w:szCs w:val="24"/>
          <w:lang w:val="en-GB"/>
        </w:rPr>
        <w:t xml:space="preserve"> </w:t>
      </w:r>
      <w:r w:rsidRPr="00C618B5">
        <w:rPr>
          <w:rFonts w:ascii="Times New Roman" w:hAnsi="Times New Roman"/>
          <w:b w:val="0"/>
          <w:sz w:val="24"/>
          <w:szCs w:val="24"/>
          <w:lang w:val="en-GB"/>
        </w:rPr>
        <w:t xml:space="preserve">district heating areas (Central, Decentral and Individual) and type of buildings (Single-family and Multi-family buildings). </w:t>
      </w:r>
    </w:p>
    <w:p w:rsidR="00DD02E4" w:rsidRPr="00C618B5" w:rsidRDefault="00DD02E4" w:rsidP="00C618B5">
      <w:pPr>
        <w:jc w:val="both"/>
        <w:rPr>
          <w:rFonts w:ascii="Times New Roman" w:hAnsi="Times New Roman" w:cs="Times New Roman"/>
          <w:sz w:val="24"/>
          <w:szCs w:val="24"/>
          <w:lang w:val="en-GB"/>
        </w:rPr>
      </w:pPr>
      <w:r w:rsidRPr="00C618B5">
        <w:rPr>
          <w:rFonts w:ascii="Times New Roman" w:hAnsi="Times New Roman" w:cs="Times New Roman"/>
          <w:sz w:val="24"/>
          <w:szCs w:val="24"/>
          <w:lang w:val="en-GB"/>
        </w:rPr>
        <w:t>Birgitte Gersfelt (bge@ens.dk) obtained p</w:t>
      </w:r>
      <w:r w:rsidR="00DD35A8" w:rsidRPr="00C618B5">
        <w:rPr>
          <w:rFonts w:ascii="Times New Roman" w:hAnsi="Times New Roman" w:cs="Times New Roman"/>
          <w:sz w:val="24"/>
          <w:szCs w:val="24"/>
          <w:lang w:val="en-GB"/>
        </w:rPr>
        <w:t xml:space="preserve">rojections of </w:t>
      </w:r>
      <w:r w:rsidRPr="00C618B5">
        <w:rPr>
          <w:rFonts w:ascii="Times New Roman" w:hAnsi="Times New Roman" w:cs="Times New Roman"/>
          <w:sz w:val="24"/>
          <w:szCs w:val="24"/>
          <w:lang w:val="en-GB"/>
        </w:rPr>
        <w:t xml:space="preserve">housing demand </w:t>
      </w:r>
      <w:r w:rsidR="00DD35A8" w:rsidRPr="00C618B5">
        <w:rPr>
          <w:rFonts w:ascii="Times New Roman" w:eastAsiaTheme="minorEastAsia" w:hAnsi="Times New Roman" w:cs="Times New Roman"/>
          <w:sz w:val="24"/>
          <w:szCs w:val="24"/>
          <w:lang w:val="en-GB"/>
        </w:rPr>
        <w:t>(</w:t>
      </w:r>
      <m:oMath>
        <m:sSub>
          <m:sSubPr>
            <m:ctrlPr>
              <w:rPr>
                <w:rFonts w:ascii="Cambria Math" w:eastAsiaTheme="majorEastAsia" w:hAnsi="Cambria Math" w:cs="Times New Roman"/>
                <w:b/>
                <w:bCs/>
                <w:i/>
                <w:iCs/>
                <w:kern w:val="32"/>
                <w:sz w:val="24"/>
                <w:szCs w:val="24"/>
                <w:lang w:val="en-GB"/>
              </w:rPr>
            </m:ctrlPr>
          </m:sSubPr>
          <m:e>
            <m:r>
              <m:rPr>
                <m:sty m:val="bi"/>
              </m:rPr>
              <w:rPr>
                <w:rFonts w:ascii="Cambria Math" w:hAnsi="Cambria Math" w:cs="Times New Roman"/>
                <w:sz w:val="24"/>
                <w:szCs w:val="24"/>
                <w:lang w:val="en-GB"/>
              </w:rPr>
              <m:t>Demand</m:t>
            </m:r>
          </m:e>
          <m:sub>
            <m:r>
              <m:rPr>
                <m:sty m:val="bi"/>
              </m:rPr>
              <w:rPr>
                <w:rFonts w:ascii="Cambria Math" w:hAnsi="Cambria Math" w:cs="Times New Roman"/>
                <w:sz w:val="24"/>
                <w:szCs w:val="24"/>
                <w:lang w:val="en-GB"/>
              </w:rPr>
              <m:t>t</m:t>
            </m:r>
          </m:sub>
        </m:sSub>
      </m:oMath>
      <w:r w:rsidR="00DD35A8" w:rsidRPr="00C618B5">
        <w:rPr>
          <w:rFonts w:ascii="Times New Roman" w:eastAsiaTheme="minorEastAsia" w:hAnsi="Times New Roman" w:cs="Times New Roman"/>
          <w:bCs/>
          <w:iCs/>
          <w:kern w:val="32"/>
          <w:sz w:val="24"/>
          <w:szCs w:val="24"/>
          <w:lang w:val="en-GB"/>
        </w:rPr>
        <w:t xml:space="preserve">) </w:t>
      </w:r>
      <w:r w:rsidR="00DD35A8" w:rsidRPr="00C618B5">
        <w:rPr>
          <w:rFonts w:ascii="Times New Roman" w:hAnsi="Times New Roman" w:cs="Times New Roman"/>
          <w:sz w:val="24"/>
          <w:szCs w:val="24"/>
          <w:lang w:val="en-GB"/>
        </w:rPr>
        <w:t xml:space="preserve">from DREAM group (Danish Rational Economic Agents Model, DREAM, </w:t>
      </w:r>
      <w:hyperlink r:id="rId8" w:history="1">
        <w:r w:rsidR="00DD35A8" w:rsidRPr="00C618B5">
          <w:rPr>
            <w:rStyle w:val="Hyperlink"/>
            <w:rFonts w:ascii="Times New Roman" w:hAnsi="Times New Roman" w:cs="Times New Roman"/>
            <w:sz w:val="24"/>
            <w:szCs w:val="24"/>
            <w:lang w:val="en-GB"/>
          </w:rPr>
          <w:t>www.dreammodel.dk</w:t>
        </w:r>
      </w:hyperlink>
      <w:r w:rsidR="00DD35A8" w:rsidRPr="00C618B5">
        <w:rPr>
          <w:rFonts w:ascii="Times New Roman" w:hAnsi="Times New Roman" w:cs="Times New Roman"/>
          <w:sz w:val="24"/>
          <w:szCs w:val="24"/>
          <w:lang w:val="en-GB"/>
        </w:rPr>
        <w:t xml:space="preserve">). They are providing projections of housing demand from 2010 to 2050 in 5 year steps.  Buildings are grouped by province, building type, construction period and household size (not used in TIMES), but not by position relative to existing DH areas. For each province and building type share of heated area in Central/Decentral/Individual is found for 2010 and assumed to be </w:t>
      </w:r>
      <w:r w:rsidRPr="00C618B5">
        <w:rPr>
          <w:rFonts w:ascii="Times New Roman" w:hAnsi="Times New Roman" w:cs="Times New Roman"/>
          <w:sz w:val="24"/>
          <w:szCs w:val="24"/>
          <w:lang w:val="en-GB"/>
        </w:rPr>
        <w:t xml:space="preserve">constant </w:t>
      </w:r>
      <w:r w:rsidR="00DD35A8" w:rsidRPr="00C618B5">
        <w:rPr>
          <w:rFonts w:ascii="Times New Roman" w:hAnsi="Times New Roman" w:cs="Times New Roman"/>
          <w:sz w:val="24"/>
          <w:szCs w:val="24"/>
          <w:lang w:val="en-GB"/>
        </w:rPr>
        <w:t>until 2050.</w:t>
      </w:r>
      <w:r w:rsidRPr="00C618B5">
        <w:rPr>
          <w:rFonts w:ascii="Times New Roman" w:hAnsi="Times New Roman" w:cs="Times New Roman"/>
          <w:sz w:val="24"/>
          <w:szCs w:val="24"/>
          <w:lang w:val="en-GB"/>
        </w:rPr>
        <w:t xml:space="preserve"> </w:t>
      </w:r>
    </w:p>
    <w:p w:rsidR="00DD02E4" w:rsidRPr="00C618B5" w:rsidRDefault="00DD02E4" w:rsidP="00C618B5">
      <w:pPr>
        <w:jc w:val="both"/>
        <w:rPr>
          <w:rFonts w:ascii="Times New Roman" w:hAnsi="Times New Roman" w:cs="Times New Roman"/>
          <w:lang w:val="en-GB"/>
        </w:rPr>
      </w:pPr>
      <w:r w:rsidRPr="00C618B5">
        <w:rPr>
          <w:rFonts w:ascii="Times New Roman" w:hAnsi="Times New Roman" w:cs="Times New Roman"/>
          <w:lang w:val="en-GB"/>
        </w:rPr>
        <w:t xml:space="preserve">Division of buildings on Central, Decentral and Individual is based on the DTU Energy Atlas and Energy Producers Count by the Danish Energy Agency.  Central and Decentral areas are composed of district heating areas (DH) and Next-to-DH areas.  DH areas are supplied by DH, while Next-to-DH areas are sharing a border with them. Central DH areas are usually based in bigger cities, have larger installed capacities, more consumers, higher heat densities and higher efficiencies compared to Decentral DH areas. Individual areas are far away from DH areas and their connection to DH is not modelled. </w:t>
      </w:r>
    </w:p>
    <w:p w:rsidR="00DD02E4" w:rsidRPr="00C618B5" w:rsidRDefault="00DD02E4" w:rsidP="00C618B5">
      <w:pPr>
        <w:jc w:val="both"/>
        <w:rPr>
          <w:rFonts w:ascii="Times New Roman" w:hAnsi="Times New Roman" w:cs="Times New Roman"/>
          <w:sz w:val="24"/>
          <w:szCs w:val="24"/>
          <w:lang w:val="en-GB"/>
        </w:rPr>
      </w:pPr>
      <w:r w:rsidRPr="00C618B5">
        <w:rPr>
          <w:rFonts w:ascii="Times New Roman" w:hAnsi="Times New Roman" w:cs="Times New Roman"/>
          <w:sz w:val="24"/>
          <w:szCs w:val="24"/>
          <w:lang w:val="en-GB"/>
        </w:rPr>
        <w:t xml:space="preserve">Annual demolition rates relative to the area existing in 2010. Divided on East and West, Single-family and Multi-family, Central, Decentral and Individual and Before and After 1972. The annual demolition rate of 0.25 % is assumed from the Renovation Strategy, </w:t>
      </w:r>
      <w:proofErr w:type="gramStart"/>
      <w:r w:rsidRPr="00C618B5">
        <w:rPr>
          <w:rFonts w:ascii="Times New Roman" w:hAnsi="Times New Roman" w:cs="Times New Roman"/>
          <w:sz w:val="24"/>
          <w:szCs w:val="24"/>
          <w:lang w:val="en-GB"/>
        </w:rPr>
        <w:t>page  16</w:t>
      </w:r>
      <w:proofErr w:type="gramEnd"/>
      <w:r w:rsidR="00C618B5">
        <w:rPr>
          <w:rFonts w:ascii="Times New Roman" w:hAnsi="Times New Roman" w:cs="Times New Roman"/>
          <w:sz w:val="24"/>
          <w:szCs w:val="24"/>
          <w:lang w:val="en-GB"/>
        </w:rPr>
        <w:t xml:space="preserve"> </w:t>
      </w:r>
      <w:r w:rsidRPr="00C618B5">
        <w:rPr>
          <w:rFonts w:ascii="Times New Roman" w:hAnsi="Times New Roman" w:cs="Times New Roman"/>
          <w:sz w:val="24"/>
          <w:szCs w:val="24"/>
          <w:lang w:val="en-GB"/>
        </w:rPr>
        <w:t>(</w:t>
      </w:r>
      <w:hyperlink r:id="rId9" w:history="1">
        <w:r w:rsidR="00E6781C" w:rsidRPr="00C618B5">
          <w:rPr>
            <w:rStyle w:val="Hyperlink"/>
            <w:rFonts w:ascii="Times New Roman" w:hAnsi="Times New Roman" w:cs="Times New Roman"/>
            <w:sz w:val="24"/>
            <w:szCs w:val="24"/>
            <w:lang w:val="en-GB"/>
          </w:rPr>
          <w:t>http://www.ens.dk/sites/ens.dk/files/byggeri/Strategi-for-energirenovering-af-bygninger/strategi-for-energirenovering-af-bygninger-web-050514.pdf</w:t>
        </w:r>
      </w:hyperlink>
      <w:r w:rsidRPr="00C618B5">
        <w:rPr>
          <w:rFonts w:ascii="Times New Roman" w:hAnsi="Times New Roman" w:cs="Times New Roman"/>
          <w:sz w:val="24"/>
          <w:szCs w:val="24"/>
          <w:lang w:val="en-GB"/>
        </w:rPr>
        <w:t xml:space="preserve">). </w:t>
      </w:r>
      <w:proofErr w:type="spellStart"/>
      <w:r w:rsidRPr="00C618B5">
        <w:rPr>
          <w:rFonts w:ascii="Times New Roman" w:hAnsi="Times New Roman" w:cs="Times New Roman"/>
          <w:sz w:val="24"/>
          <w:szCs w:val="24"/>
          <w:lang w:val="en-GB"/>
        </w:rPr>
        <w:t>SBi</w:t>
      </w:r>
      <w:proofErr w:type="spellEnd"/>
      <w:r w:rsidRPr="00C618B5">
        <w:rPr>
          <w:rFonts w:ascii="Times New Roman" w:hAnsi="Times New Roman" w:cs="Times New Roman"/>
          <w:sz w:val="24"/>
          <w:szCs w:val="24"/>
          <w:lang w:val="en-GB"/>
        </w:rPr>
        <w:t xml:space="preserve"> report "LEVETIDER AF BYGNINGSDELE VED VURDERING AF BÆREDYGTIGHED OG TOTALØKONOMI" </w:t>
      </w:r>
      <w:r w:rsidR="00E6781C" w:rsidRPr="00C618B5">
        <w:rPr>
          <w:rFonts w:ascii="Times New Roman" w:hAnsi="Times New Roman" w:cs="Times New Roman"/>
          <w:sz w:val="24"/>
          <w:szCs w:val="24"/>
          <w:lang w:val="en-GB"/>
        </w:rPr>
        <w:t>(</w:t>
      </w:r>
      <w:hyperlink r:id="rId10" w:history="1">
        <w:r w:rsidR="00E6781C" w:rsidRPr="00C618B5">
          <w:rPr>
            <w:rStyle w:val="Hyperlink"/>
            <w:rFonts w:ascii="Times New Roman" w:hAnsi="Times New Roman" w:cs="Times New Roman"/>
            <w:sz w:val="24"/>
            <w:szCs w:val="24"/>
            <w:lang w:val="en-GB"/>
          </w:rPr>
          <w:t>http://www.sbi.dk/byggeteknik/kvalitet/levetider-af-bygningsdele-ved-vurdering-af-baeredygtighed-og-totalokonomi-1/levetider-af-bygningsdele-ved-vurdering-af-baeredygtighed-og-totalokonomi</w:t>
        </w:r>
      </w:hyperlink>
      <w:r w:rsidR="00E6781C" w:rsidRPr="00C618B5">
        <w:rPr>
          <w:rFonts w:ascii="Times New Roman" w:hAnsi="Times New Roman" w:cs="Times New Roman"/>
          <w:sz w:val="24"/>
          <w:szCs w:val="24"/>
          <w:lang w:val="en-GB"/>
        </w:rPr>
        <w:t>)</w:t>
      </w:r>
      <w:r w:rsidRPr="00C618B5">
        <w:rPr>
          <w:rFonts w:ascii="Times New Roman" w:hAnsi="Times New Roman" w:cs="Times New Roman"/>
          <w:sz w:val="24"/>
          <w:szCs w:val="24"/>
          <w:lang w:val="en-GB"/>
        </w:rPr>
        <w:t>estimates demolition rate to be 0.3 %.</w:t>
      </w:r>
    </w:p>
    <w:p w:rsidR="00DD35A8" w:rsidRPr="00C618B5" w:rsidRDefault="00DD02E4" w:rsidP="00C618B5">
      <w:pPr>
        <w:jc w:val="both"/>
        <w:rPr>
          <w:rFonts w:ascii="Times New Roman" w:hAnsi="Times New Roman" w:cs="Times New Roman"/>
          <w:lang w:val="en-GB"/>
        </w:rPr>
      </w:pPr>
      <w:r w:rsidRPr="00C618B5">
        <w:rPr>
          <w:rFonts w:ascii="Times New Roman" w:hAnsi="Times New Roman" w:cs="Times New Roman"/>
          <w:lang w:val="en-GB"/>
        </w:rPr>
        <w:t>Area in the Base Year (</w:t>
      </w:r>
      <m:oMath>
        <m:r>
          <m:rPr>
            <m:sty m:val="bi"/>
          </m:rPr>
          <w:rPr>
            <w:rFonts w:ascii="Cambria Math" w:hAnsi="Cambria Math" w:cs="Times New Roman"/>
            <w:sz w:val="24"/>
            <w:szCs w:val="24"/>
            <w:lang w:val="en-GB"/>
          </w:rPr>
          <m:t>Base</m:t>
        </m:r>
      </m:oMath>
      <w:r w:rsidRPr="00C618B5">
        <w:rPr>
          <w:rFonts w:ascii="Times New Roman" w:hAnsi="Times New Roman" w:cs="Times New Roman"/>
          <w:lang w:val="en-GB"/>
        </w:rPr>
        <w:t>) is obtained from DTU Energy Atlas based on BBR dataset.</w:t>
      </w:r>
    </w:p>
    <w:p w:rsidR="00E6781C" w:rsidRPr="00C618B5" w:rsidRDefault="00E6781C" w:rsidP="00C618B5">
      <w:pPr>
        <w:jc w:val="both"/>
        <w:rPr>
          <w:rFonts w:ascii="Times New Roman" w:hAnsi="Times New Roman" w:cs="Times New Roman"/>
          <w:lang w:val="en-GB"/>
        </w:rPr>
      </w:pPr>
      <w:r w:rsidRPr="00C618B5">
        <w:rPr>
          <w:rFonts w:ascii="Times New Roman" w:hAnsi="Times New Roman" w:cs="Times New Roman"/>
          <w:lang w:val="en-GB"/>
        </w:rPr>
        <w:t xml:space="preserve">Area of new buildings is calculated as a difference between housing demand and the remaining </w:t>
      </w:r>
      <w:r w:rsidR="00F25FD9" w:rsidRPr="00C618B5">
        <w:rPr>
          <w:rFonts w:ascii="Times New Roman" w:hAnsi="Times New Roman" w:cs="Times New Roman"/>
          <w:lang w:val="en-GB"/>
        </w:rPr>
        <w:t>buildings</w:t>
      </w:r>
      <w:r w:rsidRPr="00C618B5">
        <w:rPr>
          <w:rFonts w:ascii="Times New Roman" w:hAnsi="Times New Roman" w:cs="Times New Roman"/>
          <w:lang w:val="en-GB"/>
        </w:rPr>
        <w:t xml:space="preserve"> from Base Year.</w:t>
      </w:r>
    </w:p>
    <w:p w:rsidR="00820EF2" w:rsidRPr="00C618B5" w:rsidRDefault="00820EF2" w:rsidP="00C618B5">
      <w:pPr>
        <w:pStyle w:val="Heading1"/>
        <w:jc w:val="both"/>
        <w:rPr>
          <w:rFonts w:ascii="Times New Roman" w:hAnsi="Times New Roman"/>
          <w:sz w:val="24"/>
          <w:szCs w:val="24"/>
          <w:lang w:val="en-GB"/>
        </w:rPr>
      </w:pPr>
      <w:r w:rsidRPr="00C618B5">
        <w:rPr>
          <w:rFonts w:ascii="Times New Roman" w:hAnsi="Times New Roman"/>
          <w:sz w:val="24"/>
          <w:szCs w:val="24"/>
          <w:lang w:val="en-GB"/>
        </w:rPr>
        <w:lastRenderedPageBreak/>
        <w:t>Assumptions</w:t>
      </w:r>
      <w:r w:rsidR="00C618B5">
        <w:rPr>
          <w:rFonts w:ascii="Times New Roman" w:hAnsi="Times New Roman"/>
          <w:sz w:val="24"/>
          <w:szCs w:val="24"/>
          <w:lang w:val="en-GB"/>
        </w:rPr>
        <w:t>:</w:t>
      </w:r>
    </w:p>
    <w:p w:rsidR="00820EF2" w:rsidRPr="00C618B5" w:rsidRDefault="00F25FD9" w:rsidP="00C618B5">
      <w:pPr>
        <w:pStyle w:val="ListParagraph"/>
        <w:numPr>
          <w:ilvl w:val="0"/>
          <w:numId w:val="2"/>
        </w:numPr>
        <w:jc w:val="both"/>
        <w:rPr>
          <w:rFonts w:ascii="Times New Roman" w:hAnsi="Times New Roman"/>
          <w:lang w:val="en-GB"/>
        </w:rPr>
      </w:pPr>
      <w:r w:rsidRPr="00C618B5">
        <w:rPr>
          <w:rFonts w:ascii="Times New Roman" w:hAnsi="Times New Roman"/>
          <w:lang w:val="en-GB"/>
        </w:rPr>
        <w:t>The share of buildings belonging to Central, Decentral and Individual areas is assumed to remain constant from 2010 to 2050</w:t>
      </w:r>
    </w:p>
    <w:p w:rsidR="00F25FD9" w:rsidRPr="00C618B5" w:rsidRDefault="00F25FD9" w:rsidP="00C618B5">
      <w:pPr>
        <w:pStyle w:val="ListParagraph"/>
        <w:numPr>
          <w:ilvl w:val="0"/>
          <w:numId w:val="2"/>
        </w:numPr>
        <w:jc w:val="both"/>
        <w:rPr>
          <w:rFonts w:ascii="Times New Roman" w:hAnsi="Times New Roman"/>
          <w:lang w:val="en-GB"/>
        </w:rPr>
      </w:pPr>
      <w:r w:rsidRPr="00C618B5">
        <w:rPr>
          <w:rFonts w:ascii="Times New Roman" w:hAnsi="Times New Roman"/>
          <w:lang w:val="en-GB"/>
        </w:rPr>
        <w:t>Annual demolition rates are assumed for each time period, East/West, Central/Decentral/Individual, Construction period (Before and After 1972) and type of building (Single-family and Multi-family). Demolition rates are specified relative to areas in 2010.</w:t>
      </w:r>
      <w:r w:rsidR="000F64A5" w:rsidRPr="00C618B5">
        <w:rPr>
          <w:rFonts w:ascii="Times New Roman" w:hAnsi="Times New Roman"/>
          <w:lang w:val="en-GB"/>
        </w:rPr>
        <w:t xml:space="preserve"> They are specified as variables so can be changed by the user.</w:t>
      </w:r>
    </w:p>
    <w:p w:rsidR="000F64A5" w:rsidRPr="00C618B5" w:rsidRDefault="000F64A5" w:rsidP="00C618B5">
      <w:pPr>
        <w:pStyle w:val="ListParagraph"/>
        <w:numPr>
          <w:ilvl w:val="0"/>
          <w:numId w:val="2"/>
        </w:numPr>
        <w:jc w:val="both"/>
        <w:rPr>
          <w:rFonts w:ascii="Times New Roman" w:hAnsi="Times New Roman"/>
          <w:lang w:val="en-GB"/>
        </w:rPr>
      </w:pPr>
      <w:r w:rsidRPr="00C618B5">
        <w:rPr>
          <w:rFonts w:ascii="Times New Roman" w:hAnsi="Times New Roman"/>
          <w:lang w:val="en-GB"/>
        </w:rPr>
        <w:t>The assumption is that the housing demand is always met and that "non-occupied" area doesn't exist.</w:t>
      </w:r>
    </w:p>
    <w:p w:rsidR="000F64A5" w:rsidRPr="00C618B5" w:rsidRDefault="000F64A5" w:rsidP="00C618B5">
      <w:pPr>
        <w:pStyle w:val="ListParagraph"/>
        <w:numPr>
          <w:ilvl w:val="0"/>
          <w:numId w:val="2"/>
        </w:numPr>
        <w:jc w:val="both"/>
        <w:rPr>
          <w:rFonts w:ascii="Times New Roman" w:hAnsi="Times New Roman"/>
          <w:lang w:val="en-GB"/>
        </w:rPr>
      </w:pPr>
      <w:r w:rsidRPr="00C618B5">
        <w:rPr>
          <w:rFonts w:ascii="Times New Roman" w:hAnsi="Times New Roman"/>
          <w:lang w:val="en-GB"/>
        </w:rPr>
        <w:t>Costs of demolition and construction are not included in the model.</w:t>
      </w:r>
    </w:p>
    <w:p w:rsidR="00820EF2" w:rsidRPr="00C618B5" w:rsidRDefault="00820EF2" w:rsidP="00C618B5">
      <w:pPr>
        <w:pStyle w:val="Heading1"/>
        <w:jc w:val="both"/>
        <w:rPr>
          <w:rFonts w:ascii="Times New Roman" w:hAnsi="Times New Roman"/>
          <w:sz w:val="24"/>
          <w:szCs w:val="24"/>
          <w:lang w:val="en-GB"/>
        </w:rPr>
      </w:pPr>
      <w:r w:rsidRPr="00C618B5">
        <w:rPr>
          <w:rFonts w:ascii="Times New Roman" w:hAnsi="Times New Roman"/>
          <w:sz w:val="24"/>
          <w:szCs w:val="24"/>
          <w:lang w:val="en-GB"/>
        </w:rPr>
        <w:t>References</w:t>
      </w:r>
      <w:r w:rsidR="00C618B5">
        <w:rPr>
          <w:rFonts w:ascii="Times New Roman" w:hAnsi="Times New Roman"/>
          <w:sz w:val="24"/>
          <w:szCs w:val="24"/>
          <w:lang w:val="en-GB"/>
        </w:rPr>
        <w:t>:</w:t>
      </w:r>
      <w:r w:rsidRPr="00C618B5">
        <w:rPr>
          <w:rFonts w:ascii="Times New Roman" w:hAnsi="Times New Roman"/>
          <w:sz w:val="24"/>
          <w:szCs w:val="24"/>
          <w:lang w:val="en-GB"/>
        </w:rPr>
        <w:t xml:space="preserve"> </w:t>
      </w:r>
    </w:p>
    <w:p w:rsidR="00F25FD9" w:rsidRPr="00C618B5" w:rsidRDefault="00F25FD9" w:rsidP="00C618B5">
      <w:pPr>
        <w:pStyle w:val="ListParagraph"/>
        <w:numPr>
          <w:ilvl w:val="0"/>
          <w:numId w:val="3"/>
        </w:numPr>
        <w:jc w:val="both"/>
        <w:rPr>
          <w:rFonts w:ascii="Times New Roman" w:hAnsi="Times New Roman"/>
          <w:lang w:val="en-GB"/>
        </w:rPr>
      </w:pPr>
      <w:r w:rsidRPr="00C618B5">
        <w:rPr>
          <w:rFonts w:ascii="Times New Roman" w:hAnsi="Times New Roman"/>
          <w:lang w:val="en-GB"/>
        </w:rPr>
        <w:t xml:space="preserve">DREAM projections are made for the Danish Energy Agency. It is done by DREAM group (Danish Rational Economic Agents Model, DREAM, </w:t>
      </w:r>
      <w:hyperlink r:id="rId11" w:history="1">
        <w:r w:rsidRPr="00C618B5">
          <w:rPr>
            <w:rStyle w:val="Hyperlink"/>
            <w:rFonts w:ascii="Times New Roman" w:hAnsi="Times New Roman"/>
            <w:lang w:val="en-GB"/>
          </w:rPr>
          <w:t>www.dreammodel.dk</w:t>
        </w:r>
      </w:hyperlink>
      <w:r w:rsidRPr="00C618B5">
        <w:rPr>
          <w:rFonts w:ascii="Times New Roman" w:hAnsi="Times New Roman"/>
          <w:lang w:val="en-GB"/>
        </w:rPr>
        <w:t>). In the report "</w:t>
      </w:r>
      <w:proofErr w:type="spellStart"/>
      <w:r w:rsidRPr="00C618B5">
        <w:rPr>
          <w:rFonts w:ascii="Times New Roman" w:hAnsi="Times New Roman"/>
          <w:lang w:val="en-GB"/>
        </w:rPr>
        <w:t>Modeling</w:t>
      </w:r>
      <w:proofErr w:type="spellEnd"/>
      <w:r w:rsidRPr="00C618B5">
        <w:rPr>
          <w:rFonts w:ascii="Times New Roman" w:hAnsi="Times New Roman"/>
          <w:lang w:val="en-GB"/>
        </w:rPr>
        <w:t xml:space="preserve"> Household Formation and Housing Demand in Denmark - The Dynamic Microsimulation Model SMILE  the analysis are done until 2040" (</w:t>
      </w:r>
      <w:hyperlink r:id="rId12" w:history="1">
        <w:r w:rsidRPr="00C618B5">
          <w:rPr>
            <w:rStyle w:val="Hyperlink"/>
            <w:rFonts w:ascii="Times New Roman" w:hAnsi="Times New Roman"/>
            <w:lang w:val="en-GB"/>
          </w:rPr>
          <w:t>http://www.dreammodel.dk/pdf/HousingDemand2013.pdf</w:t>
        </w:r>
      </w:hyperlink>
      <w:r w:rsidRPr="00C618B5">
        <w:rPr>
          <w:rFonts w:ascii="Times New Roman" w:hAnsi="Times New Roman"/>
          <w:lang w:val="en-GB"/>
        </w:rPr>
        <w:t>)</w:t>
      </w:r>
    </w:p>
    <w:p w:rsidR="000F64A5" w:rsidRPr="00C618B5" w:rsidRDefault="000F64A5" w:rsidP="00C618B5">
      <w:pPr>
        <w:pStyle w:val="ListParagraph"/>
        <w:numPr>
          <w:ilvl w:val="0"/>
          <w:numId w:val="3"/>
        </w:numPr>
        <w:jc w:val="both"/>
        <w:rPr>
          <w:rFonts w:ascii="Times New Roman" w:hAnsi="Times New Roman"/>
          <w:lang w:val="en-GB"/>
        </w:rPr>
      </w:pPr>
      <w:r w:rsidRPr="00C618B5">
        <w:rPr>
          <w:rFonts w:ascii="Times New Roman" w:hAnsi="Times New Roman"/>
          <w:lang w:val="en-GB"/>
        </w:rPr>
        <w:t xml:space="preserve">Strategy for energy renovation of buildings, available at </w:t>
      </w:r>
      <w:hyperlink r:id="rId13" w:history="1">
        <w:r w:rsidRPr="00C618B5">
          <w:rPr>
            <w:rStyle w:val="Hyperlink"/>
            <w:rFonts w:ascii="Times New Roman" w:hAnsi="Times New Roman"/>
            <w:lang w:val="en-GB"/>
          </w:rPr>
          <w:t>http://www.ens.dk/sites/ens.dk/files/byggeri/Strategi-for-energirenovering-af-bygninger/strategi-for-energirenovering-af-bygninger-web-050514.pdf</w:t>
        </w:r>
      </w:hyperlink>
      <w:r w:rsidRPr="00C618B5">
        <w:rPr>
          <w:rFonts w:ascii="Times New Roman" w:hAnsi="Times New Roman"/>
          <w:lang w:val="en-GB"/>
        </w:rPr>
        <w:t>)</w:t>
      </w:r>
    </w:p>
    <w:p w:rsidR="000F64A5" w:rsidRPr="00C618B5" w:rsidRDefault="000F64A5" w:rsidP="00C618B5">
      <w:pPr>
        <w:pStyle w:val="ListParagraph"/>
        <w:numPr>
          <w:ilvl w:val="0"/>
          <w:numId w:val="3"/>
        </w:numPr>
        <w:jc w:val="both"/>
        <w:rPr>
          <w:rFonts w:ascii="Times New Roman" w:hAnsi="Times New Roman"/>
        </w:rPr>
      </w:pPr>
      <w:proofErr w:type="spellStart"/>
      <w:r w:rsidRPr="00C618B5">
        <w:rPr>
          <w:rFonts w:ascii="Times New Roman" w:hAnsi="Times New Roman"/>
          <w:lang w:val="en-GB"/>
        </w:rPr>
        <w:t>SBi</w:t>
      </w:r>
      <w:proofErr w:type="spellEnd"/>
      <w:r w:rsidRPr="00C618B5">
        <w:rPr>
          <w:rFonts w:ascii="Times New Roman" w:hAnsi="Times New Roman"/>
          <w:lang w:val="en-GB"/>
        </w:rPr>
        <w:t xml:space="preserve"> report "LEVETIDER AF BYGNINGSDELE VED VURDERING AF BÆREDYGTIGHED OG TOTALØKONOMI" can be used as reference for demolition rates. Available at </w:t>
      </w:r>
      <w:hyperlink r:id="rId14" w:history="1">
        <w:r w:rsidRPr="00C618B5">
          <w:rPr>
            <w:rStyle w:val="Hyperlink"/>
            <w:rFonts w:ascii="Times New Roman" w:hAnsi="Times New Roman"/>
            <w:lang w:val="en-GB"/>
          </w:rPr>
          <w:t>http://www.sbi.dk/byggeteknik/kvalitet/levetider-af-bygningsdele-ved-vurdering-af-baeredygtighed-og-totalokonomi-1/levetider-af-bygningsdele-ved-vurdering-af-baeredygtighed-og-totalokonomi</w:t>
        </w:r>
      </w:hyperlink>
      <w:r w:rsidRPr="00C618B5">
        <w:rPr>
          <w:rFonts w:ascii="Times New Roman" w:hAnsi="Times New Roman"/>
        </w:rPr>
        <w:t xml:space="preserve"> </w:t>
      </w:r>
    </w:p>
    <w:p w:rsidR="000F64A5" w:rsidRPr="00C618B5" w:rsidRDefault="000F64A5" w:rsidP="00C618B5">
      <w:pPr>
        <w:pStyle w:val="ListParagraph"/>
        <w:ind w:left="360"/>
        <w:jc w:val="both"/>
        <w:rPr>
          <w:rFonts w:ascii="Times New Roman" w:hAnsi="Times New Roman"/>
          <w:lang w:val="en-GB"/>
        </w:rPr>
      </w:pPr>
    </w:p>
    <w:p w:rsidR="00820EF2" w:rsidRPr="00C618B5" w:rsidRDefault="00820EF2" w:rsidP="00C618B5">
      <w:pPr>
        <w:pStyle w:val="Heading1"/>
        <w:jc w:val="both"/>
        <w:rPr>
          <w:rFonts w:ascii="Times New Roman" w:hAnsi="Times New Roman"/>
          <w:sz w:val="24"/>
          <w:szCs w:val="24"/>
          <w:lang w:val="en-GB"/>
        </w:rPr>
      </w:pPr>
      <w:r w:rsidRPr="00C618B5">
        <w:rPr>
          <w:rFonts w:ascii="Times New Roman" w:hAnsi="Times New Roman"/>
          <w:sz w:val="24"/>
          <w:szCs w:val="24"/>
          <w:lang w:val="en-GB"/>
        </w:rPr>
        <w:t>Method</w:t>
      </w:r>
      <w:r w:rsidR="00C618B5">
        <w:rPr>
          <w:rFonts w:ascii="Times New Roman" w:hAnsi="Times New Roman"/>
          <w:sz w:val="24"/>
          <w:szCs w:val="24"/>
          <w:lang w:val="en-GB"/>
        </w:rPr>
        <w:t>:</w:t>
      </w:r>
    </w:p>
    <w:p w:rsidR="000F64A5" w:rsidRPr="00C618B5" w:rsidRDefault="00862E57" w:rsidP="00C618B5">
      <w:pPr>
        <w:pStyle w:val="Heading1"/>
        <w:jc w:val="both"/>
        <w:rPr>
          <w:rFonts w:ascii="Times New Roman" w:hAnsi="Times New Roman"/>
          <w:b w:val="0"/>
          <w:sz w:val="24"/>
          <w:szCs w:val="24"/>
          <w:lang w:val="en-GB"/>
        </w:rPr>
      </w:pPr>
      <m:oMath>
        <m:sSub>
          <m:sSubPr>
            <m:ctrlPr>
              <w:rPr>
                <w:rFonts w:ascii="Cambria Math" w:hAnsi="Cambria Math"/>
                <w:b w:val="0"/>
                <w:i/>
                <w:iCs/>
                <w:sz w:val="24"/>
                <w:szCs w:val="24"/>
                <w:lang w:val="en-GB"/>
              </w:rPr>
            </m:ctrlPr>
          </m:sSubPr>
          <m:e>
            <m:r>
              <m:rPr>
                <m:sty m:val="bi"/>
              </m:rPr>
              <w:rPr>
                <w:rFonts w:ascii="Cambria Math" w:hAnsi="Cambria Math"/>
                <w:sz w:val="24"/>
                <w:szCs w:val="24"/>
                <w:lang w:val="en-GB"/>
              </w:rPr>
              <m:t>Demand</m:t>
            </m:r>
          </m:e>
          <m:sub>
            <m:r>
              <m:rPr>
                <m:sty m:val="bi"/>
              </m:rPr>
              <w:rPr>
                <w:rFonts w:ascii="Cambria Math" w:hAnsi="Cambria Math"/>
                <w:sz w:val="24"/>
                <w:szCs w:val="24"/>
                <w:lang w:val="en-GB"/>
              </w:rPr>
              <m:t>t</m:t>
            </m:r>
          </m:sub>
        </m:sSub>
        <m:r>
          <m:rPr>
            <m:sty m:val="bi"/>
          </m:rPr>
          <w:rPr>
            <w:rFonts w:ascii="Cambria Math" w:hAnsi="Cambria Math"/>
            <w:sz w:val="24"/>
            <w:szCs w:val="24"/>
            <w:lang w:val="en-GB"/>
          </w:rPr>
          <m:t>=</m:t>
        </m:r>
      </m:oMath>
      <w:r w:rsidR="000F64A5" w:rsidRPr="00C618B5">
        <w:rPr>
          <w:rFonts w:ascii="Times New Roman" w:hAnsi="Times New Roman"/>
          <w:b w:val="0"/>
          <w:sz w:val="24"/>
          <w:szCs w:val="24"/>
          <w:lang w:val="en-GB"/>
        </w:rPr>
        <w:t xml:space="preserve"> </w:t>
      </w:r>
      <m:oMath>
        <m:r>
          <m:rPr>
            <m:sty m:val="bi"/>
          </m:rPr>
          <w:rPr>
            <w:rFonts w:ascii="Cambria Math" w:hAnsi="Cambria Math"/>
            <w:sz w:val="24"/>
            <w:szCs w:val="24"/>
            <w:lang w:val="en-GB"/>
          </w:rPr>
          <m:t>Base+</m:t>
        </m:r>
        <m:sSub>
          <m:sSubPr>
            <m:ctrlPr>
              <w:rPr>
                <w:rFonts w:ascii="Cambria Math" w:hAnsi="Cambria Math"/>
                <w:b w:val="0"/>
                <w:i/>
                <w:iCs/>
                <w:sz w:val="24"/>
                <w:szCs w:val="24"/>
                <w:lang w:val="en-GB"/>
              </w:rPr>
            </m:ctrlPr>
          </m:sSubPr>
          <m:e>
            <m:r>
              <m:rPr>
                <m:sty m:val="bi"/>
              </m:rPr>
              <w:rPr>
                <w:rFonts w:ascii="Cambria Math" w:hAnsi="Cambria Math"/>
                <w:sz w:val="24"/>
                <w:szCs w:val="24"/>
                <w:lang w:val="en-GB"/>
              </w:rPr>
              <m:t>New</m:t>
            </m:r>
          </m:e>
          <m:sub>
            <m:r>
              <m:rPr>
                <m:sty m:val="bi"/>
              </m:rPr>
              <w:rPr>
                <w:rFonts w:ascii="Cambria Math" w:hAnsi="Cambria Math"/>
                <w:sz w:val="24"/>
                <w:szCs w:val="24"/>
                <w:lang w:val="en-GB"/>
              </w:rPr>
              <m:t>t</m:t>
            </m:r>
          </m:sub>
        </m:sSub>
        <m:r>
          <m:rPr>
            <m:sty m:val="bi"/>
          </m:rPr>
          <w:rPr>
            <w:rFonts w:ascii="Cambria Math" w:hAnsi="Cambria Math"/>
            <w:sz w:val="24"/>
            <w:szCs w:val="24"/>
            <w:lang w:val="en-GB"/>
          </w:rPr>
          <m:t>-</m:t>
        </m:r>
        <m:sSub>
          <m:sSubPr>
            <m:ctrlPr>
              <w:rPr>
                <w:rFonts w:ascii="Cambria Math" w:hAnsi="Cambria Math"/>
                <w:b w:val="0"/>
                <w:i/>
                <w:iCs/>
                <w:sz w:val="24"/>
                <w:szCs w:val="24"/>
                <w:lang w:val="en-GB"/>
              </w:rPr>
            </m:ctrlPr>
          </m:sSubPr>
          <m:e>
            <m:r>
              <m:rPr>
                <m:sty m:val="bi"/>
              </m:rPr>
              <w:rPr>
                <w:rFonts w:ascii="Cambria Math" w:hAnsi="Cambria Math"/>
                <w:sz w:val="24"/>
                <w:szCs w:val="24"/>
                <w:lang w:val="en-GB"/>
              </w:rPr>
              <m:t>Demol</m:t>
            </m:r>
          </m:e>
          <m:sub>
            <m:r>
              <m:rPr>
                <m:sty m:val="bi"/>
              </m:rPr>
              <w:rPr>
                <w:rFonts w:ascii="Cambria Math" w:hAnsi="Cambria Math"/>
                <w:sz w:val="24"/>
                <w:szCs w:val="24"/>
                <w:lang w:val="en-GB"/>
              </w:rPr>
              <m:t>t</m:t>
            </m:r>
          </m:sub>
        </m:sSub>
      </m:oMath>
    </w:p>
    <w:p w:rsidR="000F64A5" w:rsidRPr="00C618B5" w:rsidRDefault="00862E57" w:rsidP="00C618B5">
      <w:pPr>
        <w:pStyle w:val="Heading1"/>
        <w:jc w:val="both"/>
        <w:rPr>
          <w:rFonts w:ascii="Times New Roman" w:hAnsi="Times New Roman"/>
          <w:b w:val="0"/>
          <w:sz w:val="24"/>
          <w:szCs w:val="24"/>
          <w:lang w:val="en-GB"/>
        </w:rPr>
      </w:pPr>
      <m:oMath>
        <m:sSub>
          <m:sSubPr>
            <m:ctrlPr>
              <w:rPr>
                <w:rFonts w:ascii="Cambria Math" w:hAnsi="Cambria Math"/>
                <w:b w:val="0"/>
                <w:i/>
                <w:iCs/>
                <w:sz w:val="24"/>
                <w:szCs w:val="24"/>
                <w:lang w:val="en-GB"/>
              </w:rPr>
            </m:ctrlPr>
          </m:sSubPr>
          <m:e>
            <m:r>
              <m:rPr>
                <m:sty m:val="bi"/>
              </m:rPr>
              <w:rPr>
                <w:rFonts w:ascii="Cambria Math" w:hAnsi="Cambria Math"/>
                <w:sz w:val="24"/>
                <w:szCs w:val="24"/>
                <w:lang w:val="en-GB"/>
              </w:rPr>
              <m:t>Demand</m:t>
            </m:r>
          </m:e>
          <m:sub>
            <m:r>
              <m:rPr>
                <m:sty m:val="bi"/>
              </m:rPr>
              <w:rPr>
                <w:rFonts w:ascii="Cambria Math" w:hAnsi="Cambria Math"/>
                <w:sz w:val="24"/>
                <w:szCs w:val="24"/>
                <w:lang w:val="en-GB"/>
              </w:rPr>
              <m:t>t</m:t>
            </m:r>
          </m:sub>
        </m:sSub>
      </m:oMath>
      <w:r w:rsidR="000F64A5" w:rsidRPr="00C618B5">
        <w:rPr>
          <w:rFonts w:ascii="Times New Roman" w:hAnsi="Times New Roman"/>
          <w:b w:val="0"/>
          <w:sz w:val="24"/>
          <w:szCs w:val="24"/>
          <w:lang w:val="en-GB"/>
        </w:rPr>
        <w:t xml:space="preserve"> - </w:t>
      </w:r>
      <w:r w:rsidR="00C618B5" w:rsidRPr="00C618B5">
        <w:rPr>
          <w:rFonts w:ascii="Times New Roman" w:hAnsi="Times New Roman"/>
          <w:b w:val="0"/>
          <w:sz w:val="24"/>
          <w:szCs w:val="24"/>
          <w:lang w:val="en-GB"/>
        </w:rPr>
        <w:t>Housing</w:t>
      </w:r>
      <w:r w:rsidR="000F64A5" w:rsidRPr="00C618B5">
        <w:rPr>
          <w:rFonts w:ascii="Times New Roman" w:hAnsi="Times New Roman"/>
          <w:b w:val="0"/>
          <w:sz w:val="24"/>
          <w:szCs w:val="24"/>
          <w:lang w:val="en-GB"/>
        </w:rPr>
        <w:t xml:space="preserve"> demand in year t. This is projected by DREAM group.</w:t>
      </w:r>
    </w:p>
    <w:p w:rsidR="000F64A5" w:rsidRPr="00C618B5" w:rsidRDefault="000F64A5" w:rsidP="00C618B5">
      <w:pPr>
        <w:pStyle w:val="Heading1"/>
        <w:jc w:val="both"/>
        <w:rPr>
          <w:rFonts w:ascii="Times New Roman" w:hAnsi="Times New Roman"/>
          <w:b w:val="0"/>
          <w:sz w:val="24"/>
          <w:szCs w:val="24"/>
          <w:lang w:val="en-GB"/>
        </w:rPr>
      </w:pPr>
      <m:oMath>
        <m:r>
          <m:rPr>
            <m:sty m:val="bi"/>
          </m:rPr>
          <w:rPr>
            <w:rFonts w:ascii="Cambria Math" w:hAnsi="Cambria Math"/>
            <w:sz w:val="24"/>
            <w:szCs w:val="24"/>
            <w:lang w:val="en-GB"/>
          </w:rPr>
          <m:t>Base</m:t>
        </m:r>
      </m:oMath>
      <w:r w:rsidRPr="00C618B5">
        <w:rPr>
          <w:rFonts w:ascii="Times New Roman" w:hAnsi="Times New Roman"/>
          <w:b w:val="0"/>
          <w:sz w:val="24"/>
          <w:szCs w:val="24"/>
          <w:lang w:val="en-GB"/>
        </w:rPr>
        <w:t xml:space="preserve"> - </w:t>
      </w:r>
      <w:proofErr w:type="gramStart"/>
      <w:r w:rsidRPr="00C618B5">
        <w:rPr>
          <w:rFonts w:ascii="Times New Roman" w:hAnsi="Times New Roman"/>
          <w:b w:val="0"/>
          <w:sz w:val="24"/>
          <w:szCs w:val="24"/>
          <w:lang w:val="en-GB"/>
        </w:rPr>
        <w:t>area</w:t>
      </w:r>
      <w:proofErr w:type="gramEnd"/>
      <w:r w:rsidRPr="00C618B5">
        <w:rPr>
          <w:rFonts w:ascii="Times New Roman" w:hAnsi="Times New Roman"/>
          <w:b w:val="0"/>
          <w:sz w:val="24"/>
          <w:szCs w:val="24"/>
          <w:lang w:val="en-GB"/>
        </w:rPr>
        <w:t xml:space="preserve"> in Base Year. This comes from DTU Energy Atlas based on BBR dataset.</w:t>
      </w:r>
    </w:p>
    <w:p w:rsidR="000F64A5" w:rsidRPr="00C618B5" w:rsidRDefault="00862E57" w:rsidP="00C618B5">
      <w:pPr>
        <w:pStyle w:val="Heading1"/>
        <w:jc w:val="both"/>
        <w:rPr>
          <w:rFonts w:ascii="Times New Roman" w:hAnsi="Times New Roman"/>
          <w:b w:val="0"/>
          <w:sz w:val="24"/>
          <w:szCs w:val="24"/>
          <w:lang w:val="en-GB"/>
        </w:rPr>
      </w:pPr>
      <m:oMath>
        <m:sSub>
          <m:sSubPr>
            <m:ctrlPr>
              <w:rPr>
                <w:rFonts w:ascii="Cambria Math" w:hAnsi="Cambria Math"/>
                <w:b w:val="0"/>
                <w:i/>
                <w:iCs/>
                <w:sz w:val="24"/>
                <w:szCs w:val="24"/>
                <w:lang w:val="en-GB"/>
              </w:rPr>
            </m:ctrlPr>
          </m:sSubPr>
          <m:e>
            <m:r>
              <m:rPr>
                <m:sty m:val="bi"/>
              </m:rPr>
              <w:rPr>
                <w:rFonts w:ascii="Cambria Math" w:hAnsi="Cambria Math"/>
                <w:sz w:val="24"/>
                <w:szCs w:val="24"/>
                <w:lang w:val="en-GB"/>
              </w:rPr>
              <m:t>New</m:t>
            </m:r>
          </m:e>
          <m:sub>
            <m:r>
              <m:rPr>
                <m:sty m:val="bi"/>
              </m:rPr>
              <w:rPr>
                <w:rFonts w:ascii="Cambria Math" w:hAnsi="Cambria Math"/>
                <w:sz w:val="24"/>
                <w:szCs w:val="24"/>
                <w:lang w:val="en-GB"/>
              </w:rPr>
              <m:t>t</m:t>
            </m:r>
          </m:sub>
        </m:sSub>
      </m:oMath>
      <w:r w:rsidR="000F64A5" w:rsidRPr="00C618B5">
        <w:rPr>
          <w:rFonts w:ascii="Times New Roman" w:hAnsi="Times New Roman"/>
          <w:b w:val="0"/>
          <w:sz w:val="24"/>
          <w:szCs w:val="24"/>
          <w:lang w:val="en-GB"/>
        </w:rPr>
        <w:t xml:space="preserve"> - </w:t>
      </w:r>
      <w:proofErr w:type="gramStart"/>
      <w:r w:rsidR="000F64A5" w:rsidRPr="00C618B5">
        <w:rPr>
          <w:rFonts w:ascii="Times New Roman" w:hAnsi="Times New Roman"/>
          <w:b w:val="0"/>
          <w:sz w:val="24"/>
          <w:szCs w:val="24"/>
          <w:lang w:val="en-GB"/>
        </w:rPr>
        <w:t>area</w:t>
      </w:r>
      <w:proofErr w:type="gramEnd"/>
      <w:r w:rsidR="000F64A5" w:rsidRPr="00C618B5">
        <w:rPr>
          <w:rFonts w:ascii="Times New Roman" w:hAnsi="Times New Roman"/>
          <w:b w:val="0"/>
          <w:sz w:val="24"/>
          <w:szCs w:val="24"/>
          <w:lang w:val="en-GB"/>
        </w:rPr>
        <w:t xml:space="preserve"> built between Base year and year t</w:t>
      </w:r>
    </w:p>
    <w:p w:rsidR="000F64A5" w:rsidRPr="00C618B5" w:rsidRDefault="00862E57" w:rsidP="00C618B5">
      <w:pPr>
        <w:pStyle w:val="Heading1"/>
        <w:jc w:val="both"/>
        <w:rPr>
          <w:rFonts w:ascii="Times New Roman" w:hAnsi="Times New Roman"/>
          <w:b w:val="0"/>
          <w:sz w:val="24"/>
          <w:szCs w:val="24"/>
          <w:lang w:val="en-GB"/>
        </w:rPr>
      </w:pPr>
      <m:oMath>
        <m:sSub>
          <m:sSubPr>
            <m:ctrlPr>
              <w:rPr>
                <w:rFonts w:ascii="Cambria Math" w:hAnsi="Cambria Math"/>
                <w:b w:val="0"/>
                <w:i/>
                <w:iCs/>
                <w:sz w:val="24"/>
                <w:szCs w:val="24"/>
                <w:lang w:val="en-GB"/>
              </w:rPr>
            </m:ctrlPr>
          </m:sSubPr>
          <m:e>
            <m:r>
              <m:rPr>
                <m:sty m:val="bi"/>
              </m:rPr>
              <w:rPr>
                <w:rFonts w:ascii="Cambria Math" w:hAnsi="Cambria Math"/>
                <w:sz w:val="24"/>
                <w:szCs w:val="24"/>
                <w:lang w:val="en-GB"/>
              </w:rPr>
              <m:t>Demol</m:t>
            </m:r>
          </m:e>
          <m:sub>
            <m:r>
              <m:rPr>
                <m:sty m:val="bi"/>
              </m:rPr>
              <w:rPr>
                <w:rFonts w:ascii="Cambria Math" w:hAnsi="Cambria Math"/>
                <w:sz w:val="24"/>
                <w:szCs w:val="24"/>
                <w:lang w:val="en-GB"/>
              </w:rPr>
              <m:t>t</m:t>
            </m:r>
          </m:sub>
        </m:sSub>
      </m:oMath>
      <w:r w:rsidR="000F64A5" w:rsidRPr="00C618B5">
        <w:rPr>
          <w:rFonts w:ascii="Times New Roman" w:hAnsi="Times New Roman"/>
          <w:b w:val="0"/>
          <w:sz w:val="24"/>
          <w:szCs w:val="24"/>
          <w:lang w:val="en-GB"/>
        </w:rPr>
        <w:t xml:space="preserve"> - </w:t>
      </w:r>
      <w:proofErr w:type="gramStart"/>
      <w:r w:rsidR="000F64A5" w:rsidRPr="00C618B5">
        <w:rPr>
          <w:rFonts w:ascii="Times New Roman" w:hAnsi="Times New Roman"/>
          <w:b w:val="0"/>
          <w:sz w:val="24"/>
          <w:szCs w:val="24"/>
          <w:lang w:val="en-GB"/>
        </w:rPr>
        <w:t>area</w:t>
      </w:r>
      <w:proofErr w:type="gramEnd"/>
      <w:r w:rsidR="000F64A5" w:rsidRPr="00C618B5">
        <w:rPr>
          <w:rFonts w:ascii="Times New Roman" w:hAnsi="Times New Roman"/>
          <w:b w:val="0"/>
          <w:sz w:val="24"/>
          <w:szCs w:val="24"/>
          <w:lang w:val="en-GB"/>
        </w:rPr>
        <w:t xml:space="preserve"> demolished between Base year and year t</w:t>
      </w:r>
    </w:p>
    <w:p w:rsidR="00820EF2" w:rsidRPr="00C618B5" w:rsidRDefault="00820EF2" w:rsidP="00C618B5">
      <w:pPr>
        <w:pStyle w:val="Heading1"/>
        <w:jc w:val="both"/>
        <w:rPr>
          <w:rFonts w:ascii="Times New Roman" w:hAnsi="Times New Roman"/>
          <w:sz w:val="24"/>
          <w:szCs w:val="24"/>
          <w:lang w:val="en-GB"/>
        </w:rPr>
      </w:pPr>
      <w:r w:rsidRPr="00C618B5">
        <w:rPr>
          <w:rFonts w:ascii="Times New Roman" w:hAnsi="Times New Roman"/>
          <w:sz w:val="24"/>
          <w:szCs w:val="24"/>
          <w:lang w:val="en-GB"/>
        </w:rPr>
        <w:t>Data sources</w:t>
      </w:r>
      <w:r w:rsidR="00C618B5">
        <w:rPr>
          <w:rFonts w:ascii="Times New Roman" w:hAnsi="Times New Roman"/>
          <w:sz w:val="24"/>
          <w:szCs w:val="24"/>
          <w:lang w:val="en-GB"/>
        </w:rPr>
        <w:t>:</w:t>
      </w:r>
    </w:p>
    <w:p w:rsidR="00735EBD" w:rsidRPr="00C618B5" w:rsidRDefault="000F64A5" w:rsidP="00C618B5">
      <w:pPr>
        <w:jc w:val="both"/>
        <w:rPr>
          <w:rFonts w:ascii="Times New Roman" w:hAnsi="Times New Roman" w:cs="Times New Roman"/>
          <w:lang w:val="en-GB"/>
        </w:rPr>
      </w:pPr>
      <w:r w:rsidRPr="00C618B5">
        <w:rPr>
          <w:rFonts w:ascii="Times New Roman" w:hAnsi="Times New Roman" w:cs="Times New Roman"/>
          <w:lang w:val="en-GB"/>
        </w:rPr>
        <w:t>Areas of buildings</w:t>
      </w:r>
      <w:r w:rsidR="00291BA9" w:rsidRPr="00C618B5">
        <w:rPr>
          <w:rFonts w:ascii="Times New Roman" w:hAnsi="Times New Roman" w:cs="Times New Roman"/>
          <w:lang w:val="en-GB"/>
        </w:rPr>
        <w:t xml:space="preserve"> in Base Year (2010) are</w:t>
      </w:r>
      <w:r w:rsidRPr="00C618B5">
        <w:rPr>
          <w:rFonts w:ascii="Times New Roman" w:hAnsi="Times New Roman" w:cs="Times New Roman"/>
          <w:lang w:val="en-GB"/>
        </w:rPr>
        <w:t xml:space="preserve"> divided by position relative to existing district heating areas (Central, Decentral and Individual), </w:t>
      </w:r>
      <w:r w:rsidR="00291BA9" w:rsidRPr="00C618B5">
        <w:rPr>
          <w:rFonts w:ascii="Times New Roman" w:hAnsi="Times New Roman" w:cs="Times New Roman"/>
          <w:lang w:val="en-GB"/>
        </w:rPr>
        <w:t xml:space="preserve">region (East and West </w:t>
      </w:r>
      <w:r w:rsidR="00E0043B" w:rsidRPr="00C618B5">
        <w:rPr>
          <w:rFonts w:ascii="Times New Roman" w:hAnsi="Times New Roman" w:cs="Times New Roman"/>
          <w:lang w:val="en-GB"/>
        </w:rPr>
        <w:t>Denmark</w:t>
      </w:r>
      <w:bookmarkStart w:id="0" w:name="_GoBack"/>
      <w:bookmarkEnd w:id="0"/>
      <w:r w:rsidR="00291BA9" w:rsidRPr="00C618B5">
        <w:rPr>
          <w:rFonts w:ascii="Times New Roman" w:hAnsi="Times New Roman" w:cs="Times New Roman"/>
          <w:lang w:val="en-GB"/>
        </w:rPr>
        <w:t>), construction period (before and after 1972), province and type of building (Single-family and Multi-family).  The source is DTU Energy Atlas based on the BBR dataset.</w:t>
      </w:r>
    </w:p>
    <w:sectPr w:rsidR="00735EBD" w:rsidRPr="00C618B5">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E57" w:rsidRDefault="00862E57" w:rsidP="00123EB9">
      <w:pPr>
        <w:spacing w:after="0" w:line="240" w:lineRule="auto"/>
      </w:pPr>
      <w:r>
        <w:separator/>
      </w:r>
    </w:p>
  </w:endnote>
  <w:endnote w:type="continuationSeparator" w:id="0">
    <w:p w:rsidR="00862E57" w:rsidRDefault="00862E57" w:rsidP="00123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EB9" w:rsidRDefault="00123E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EB9" w:rsidRDefault="00123EB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EB9" w:rsidRDefault="00123E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E57" w:rsidRDefault="00862E57" w:rsidP="00123EB9">
      <w:pPr>
        <w:spacing w:after="0" w:line="240" w:lineRule="auto"/>
      </w:pPr>
      <w:r>
        <w:separator/>
      </w:r>
    </w:p>
  </w:footnote>
  <w:footnote w:type="continuationSeparator" w:id="0">
    <w:p w:rsidR="00862E57" w:rsidRDefault="00862E57" w:rsidP="00123E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EB9" w:rsidRDefault="00123E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EB9" w:rsidRDefault="00123EB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EB9" w:rsidRDefault="00123E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B3A933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6BBB2233"/>
    <w:multiLevelType w:val="multilevel"/>
    <w:tmpl w:val="9EC68618"/>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758078A0"/>
    <w:multiLevelType w:val="multilevel"/>
    <w:tmpl w:val="242E5E8E"/>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EE2"/>
    <w:rsid w:val="00043AA6"/>
    <w:rsid w:val="000866BC"/>
    <w:rsid w:val="000F64A5"/>
    <w:rsid w:val="00123EB9"/>
    <w:rsid w:val="001C03B3"/>
    <w:rsid w:val="00291BA9"/>
    <w:rsid w:val="00355322"/>
    <w:rsid w:val="00495EE2"/>
    <w:rsid w:val="00735EBD"/>
    <w:rsid w:val="00820EF2"/>
    <w:rsid w:val="00862E57"/>
    <w:rsid w:val="009A28AD"/>
    <w:rsid w:val="00C618B5"/>
    <w:rsid w:val="00D649B5"/>
    <w:rsid w:val="00DD02E4"/>
    <w:rsid w:val="00DD35A8"/>
    <w:rsid w:val="00E0043B"/>
    <w:rsid w:val="00E6781C"/>
    <w:rsid w:val="00F25F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4"/>
        <w:szCs w:val="24"/>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EB9"/>
    <w:pPr>
      <w:spacing w:after="160" w:line="259" w:lineRule="auto"/>
    </w:pPr>
    <w:rPr>
      <w:rFonts w:cstheme="minorBidi"/>
      <w:sz w:val="22"/>
      <w:szCs w:val="22"/>
    </w:rPr>
  </w:style>
  <w:style w:type="paragraph" w:styleId="Heading1">
    <w:name w:val="heading 1"/>
    <w:basedOn w:val="Normal"/>
    <w:next w:val="Normal"/>
    <w:link w:val="Heading1Char"/>
    <w:uiPriority w:val="9"/>
    <w:qFormat/>
    <w:rsid w:val="00355322"/>
    <w:pPr>
      <w:keepNext/>
      <w:spacing w:before="240" w:after="60" w:line="240" w:lineRule="auto"/>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semiHidden/>
    <w:unhideWhenUsed/>
    <w:qFormat/>
    <w:rsid w:val="00355322"/>
    <w:pPr>
      <w:keepNext/>
      <w:spacing w:before="240" w:after="60" w:line="240" w:lineRule="auto"/>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semiHidden/>
    <w:unhideWhenUsed/>
    <w:qFormat/>
    <w:rsid w:val="00355322"/>
    <w:pPr>
      <w:keepNext/>
      <w:spacing w:before="240" w:after="60" w:line="240" w:lineRule="auto"/>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semiHidden/>
    <w:unhideWhenUsed/>
    <w:qFormat/>
    <w:rsid w:val="00355322"/>
    <w:pPr>
      <w:keepNext/>
      <w:spacing w:before="240" w:after="60" w:line="240" w:lineRule="auto"/>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355322"/>
    <w:pPr>
      <w:spacing w:before="240" w:after="60" w:line="240" w:lineRule="auto"/>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355322"/>
    <w:pPr>
      <w:spacing w:before="240" w:after="60" w:line="240" w:lineRule="auto"/>
      <w:outlineLvl w:val="5"/>
    </w:pPr>
    <w:rPr>
      <w:rFonts w:cs="Times New Roman"/>
      <w:b/>
      <w:bCs/>
    </w:rPr>
  </w:style>
  <w:style w:type="paragraph" w:styleId="Heading7">
    <w:name w:val="heading 7"/>
    <w:basedOn w:val="Normal"/>
    <w:next w:val="Normal"/>
    <w:link w:val="Heading7Char"/>
    <w:uiPriority w:val="9"/>
    <w:semiHidden/>
    <w:unhideWhenUsed/>
    <w:qFormat/>
    <w:rsid w:val="00355322"/>
    <w:pPr>
      <w:spacing w:before="240" w:after="60" w:line="240" w:lineRule="auto"/>
      <w:outlineLvl w:val="6"/>
    </w:pPr>
    <w:rPr>
      <w:rFonts w:cs="Times New Roman"/>
      <w:sz w:val="24"/>
      <w:szCs w:val="24"/>
    </w:rPr>
  </w:style>
  <w:style w:type="paragraph" w:styleId="Heading8">
    <w:name w:val="heading 8"/>
    <w:basedOn w:val="Normal"/>
    <w:next w:val="Normal"/>
    <w:link w:val="Heading8Char"/>
    <w:uiPriority w:val="9"/>
    <w:semiHidden/>
    <w:unhideWhenUsed/>
    <w:qFormat/>
    <w:rsid w:val="00355322"/>
    <w:pPr>
      <w:spacing w:before="240" w:after="60" w:line="240" w:lineRule="auto"/>
      <w:outlineLvl w:val="7"/>
    </w:pPr>
    <w:rPr>
      <w:rFonts w:cs="Times New Roman"/>
      <w:i/>
      <w:iCs/>
      <w:sz w:val="24"/>
      <w:szCs w:val="24"/>
    </w:rPr>
  </w:style>
  <w:style w:type="paragraph" w:styleId="Heading9">
    <w:name w:val="heading 9"/>
    <w:basedOn w:val="Normal"/>
    <w:next w:val="Normal"/>
    <w:link w:val="Heading9Char"/>
    <w:uiPriority w:val="9"/>
    <w:semiHidden/>
    <w:unhideWhenUsed/>
    <w:qFormat/>
    <w:rsid w:val="00355322"/>
    <w:pPr>
      <w:spacing w:before="240" w:after="60" w:line="240" w:lineRule="auto"/>
      <w:outlineLvl w:val="8"/>
    </w:pPr>
    <w:rPr>
      <w:rFonts w:asciiTheme="majorHAnsi" w:eastAsiaTheme="majorEastAsia" w:hAnsiTheme="majorHAns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32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5532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5532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55322"/>
    <w:rPr>
      <w:b/>
      <w:bCs/>
      <w:sz w:val="28"/>
      <w:szCs w:val="28"/>
    </w:rPr>
  </w:style>
  <w:style w:type="character" w:customStyle="1" w:styleId="Heading5Char">
    <w:name w:val="Heading 5 Char"/>
    <w:basedOn w:val="DefaultParagraphFont"/>
    <w:link w:val="Heading5"/>
    <w:uiPriority w:val="9"/>
    <w:semiHidden/>
    <w:rsid w:val="00355322"/>
    <w:rPr>
      <w:b/>
      <w:bCs/>
      <w:i/>
      <w:iCs/>
      <w:sz w:val="26"/>
      <w:szCs w:val="26"/>
    </w:rPr>
  </w:style>
  <w:style w:type="character" w:customStyle="1" w:styleId="Heading6Char">
    <w:name w:val="Heading 6 Char"/>
    <w:basedOn w:val="DefaultParagraphFont"/>
    <w:link w:val="Heading6"/>
    <w:uiPriority w:val="9"/>
    <w:semiHidden/>
    <w:rsid w:val="00355322"/>
    <w:rPr>
      <w:b/>
      <w:bCs/>
    </w:rPr>
  </w:style>
  <w:style w:type="character" w:customStyle="1" w:styleId="Heading7Char">
    <w:name w:val="Heading 7 Char"/>
    <w:basedOn w:val="DefaultParagraphFont"/>
    <w:link w:val="Heading7"/>
    <w:uiPriority w:val="9"/>
    <w:semiHidden/>
    <w:rsid w:val="00355322"/>
    <w:rPr>
      <w:sz w:val="24"/>
      <w:szCs w:val="24"/>
    </w:rPr>
  </w:style>
  <w:style w:type="character" w:customStyle="1" w:styleId="Heading8Char">
    <w:name w:val="Heading 8 Char"/>
    <w:basedOn w:val="DefaultParagraphFont"/>
    <w:link w:val="Heading8"/>
    <w:uiPriority w:val="9"/>
    <w:semiHidden/>
    <w:rsid w:val="00355322"/>
    <w:rPr>
      <w:i/>
      <w:iCs/>
      <w:sz w:val="24"/>
      <w:szCs w:val="24"/>
    </w:rPr>
  </w:style>
  <w:style w:type="character" w:customStyle="1" w:styleId="Heading9Char">
    <w:name w:val="Heading 9 Char"/>
    <w:basedOn w:val="DefaultParagraphFont"/>
    <w:link w:val="Heading9"/>
    <w:uiPriority w:val="9"/>
    <w:semiHidden/>
    <w:rsid w:val="00355322"/>
    <w:rPr>
      <w:rFonts w:asciiTheme="majorHAnsi" w:eastAsiaTheme="majorEastAsia" w:hAnsiTheme="majorHAnsi"/>
    </w:rPr>
  </w:style>
  <w:style w:type="paragraph" w:styleId="Title">
    <w:name w:val="Title"/>
    <w:basedOn w:val="Normal"/>
    <w:next w:val="Normal"/>
    <w:link w:val="TitleChar"/>
    <w:uiPriority w:val="10"/>
    <w:qFormat/>
    <w:rsid w:val="00355322"/>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35532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55322"/>
    <w:pPr>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355322"/>
    <w:rPr>
      <w:rFonts w:asciiTheme="majorHAnsi" w:eastAsiaTheme="majorEastAsia" w:hAnsiTheme="majorHAnsi"/>
      <w:sz w:val="24"/>
      <w:szCs w:val="24"/>
    </w:rPr>
  </w:style>
  <w:style w:type="character" w:styleId="Strong">
    <w:name w:val="Strong"/>
    <w:basedOn w:val="DefaultParagraphFont"/>
    <w:uiPriority w:val="22"/>
    <w:qFormat/>
    <w:rsid w:val="00355322"/>
    <w:rPr>
      <w:b/>
      <w:bCs/>
    </w:rPr>
  </w:style>
  <w:style w:type="character" w:styleId="Emphasis">
    <w:name w:val="Emphasis"/>
    <w:basedOn w:val="DefaultParagraphFont"/>
    <w:uiPriority w:val="20"/>
    <w:qFormat/>
    <w:rsid w:val="00355322"/>
    <w:rPr>
      <w:rFonts w:asciiTheme="minorHAnsi" w:hAnsiTheme="minorHAnsi"/>
      <w:b/>
      <w:i/>
      <w:iCs/>
    </w:rPr>
  </w:style>
  <w:style w:type="paragraph" w:styleId="NoSpacing">
    <w:name w:val="No Spacing"/>
    <w:basedOn w:val="Normal"/>
    <w:uiPriority w:val="1"/>
    <w:qFormat/>
    <w:rsid w:val="00355322"/>
    <w:pPr>
      <w:spacing w:after="0" w:line="240" w:lineRule="auto"/>
    </w:pPr>
    <w:rPr>
      <w:rFonts w:cs="Times New Roman"/>
      <w:sz w:val="24"/>
      <w:szCs w:val="32"/>
    </w:rPr>
  </w:style>
  <w:style w:type="paragraph" w:styleId="ListParagraph">
    <w:name w:val="List Paragraph"/>
    <w:basedOn w:val="Normal"/>
    <w:uiPriority w:val="34"/>
    <w:qFormat/>
    <w:rsid w:val="00355322"/>
    <w:pPr>
      <w:spacing w:after="0" w:line="240" w:lineRule="auto"/>
      <w:ind w:left="720"/>
      <w:contextualSpacing/>
    </w:pPr>
    <w:rPr>
      <w:rFonts w:cs="Times New Roman"/>
      <w:sz w:val="24"/>
      <w:szCs w:val="24"/>
    </w:rPr>
  </w:style>
  <w:style w:type="paragraph" w:styleId="Quote">
    <w:name w:val="Quote"/>
    <w:basedOn w:val="Normal"/>
    <w:next w:val="Normal"/>
    <w:link w:val="QuoteChar"/>
    <w:uiPriority w:val="29"/>
    <w:qFormat/>
    <w:rsid w:val="00355322"/>
    <w:pPr>
      <w:spacing w:after="0" w:line="240" w:lineRule="auto"/>
    </w:pPr>
    <w:rPr>
      <w:rFonts w:cs="Times New Roman"/>
      <w:i/>
      <w:sz w:val="24"/>
      <w:szCs w:val="24"/>
    </w:rPr>
  </w:style>
  <w:style w:type="character" w:customStyle="1" w:styleId="QuoteChar">
    <w:name w:val="Quote Char"/>
    <w:basedOn w:val="DefaultParagraphFont"/>
    <w:link w:val="Quote"/>
    <w:uiPriority w:val="29"/>
    <w:rsid w:val="00355322"/>
    <w:rPr>
      <w:i/>
      <w:sz w:val="24"/>
      <w:szCs w:val="24"/>
    </w:rPr>
  </w:style>
  <w:style w:type="paragraph" w:styleId="IntenseQuote">
    <w:name w:val="Intense Quote"/>
    <w:basedOn w:val="Normal"/>
    <w:next w:val="Normal"/>
    <w:link w:val="IntenseQuoteChar"/>
    <w:uiPriority w:val="30"/>
    <w:qFormat/>
    <w:rsid w:val="00355322"/>
    <w:pPr>
      <w:spacing w:after="0" w:line="240" w:lineRule="auto"/>
      <w:ind w:left="720" w:right="720"/>
    </w:pPr>
    <w:rPr>
      <w:rFonts w:cs="Times New Roman"/>
      <w:b/>
      <w:i/>
      <w:sz w:val="24"/>
    </w:rPr>
  </w:style>
  <w:style w:type="character" w:customStyle="1" w:styleId="IntenseQuoteChar">
    <w:name w:val="Intense Quote Char"/>
    <w:basedOn w:val="DefaultParagraphFont"/>
    <w:link w:val="IntenseQuote"/>
    <w:uiPriority w:val="30"/>
    <w:rsid w:val="00355322"/>
    <w:rPr>
      <w:b/>
      <w:i/>
      <w:sz w:val="24"/>
    </w:rPr>
  </w:style>
  <w:style w:type="character" w:styleId="SubtleEmphasis">
    <w:name w:val="Subtle Emphasis"/>
    <w:uiPriority w:val="19"/>
    <w:qFormat/>
    <w:rsid w:val="00355322"/>
    <w:rPr>
      <w:i/>
      <w:color w:val="5A5A5A" w:themeColor="text1" w:themeTint="A5"/>
    </w:rPr>
  </w:style>
  <w:style w:type="character" w:styleId="IntenseEmphasis">
    <w:name w:val="Intense Emphasis"/>
    <w:basedOn w:val="DefaultParagraphFont"/>
    <w:uiPriority w:val="21"/>
    <w:qFormat/>
    <w:rsid w:val="00355322"/>
    <w:rPr>
      <w:b/>
      <w:i/>
      <w:sz w:val="24"/>
      <w:szCs w:val="24"/>
      <w:u w:val="single"/>
    </w:rPr>
  </w:style>
  <w:style w:type="character" w:styleId="SubtleReference">
    <w:name w:val="Subtle Reference"/>
    <w:basedOn w:val="DefaultParagraphFont"/>
    <w:uiPriority w:val="31"/>
    <w:qFormat/>
    <w:rsid w:val="00355322"/>
    <w:rPr>
      <w:sz w:val="24"/>
      <w:szCs w:val="24"/>
      <w:u w:val="single"/>
    </w:rPr>
  </w:style>
  <w:style w:type="character" w:styleId="IntenseReference">
    <w:name w:val="Intense Reference"/>
    <w:basedOn w:val="DefaultParagraphFont"/>
    <w:uiPriority w:val="32"/>
    <w:qFormat/>
    <w:rsid w:val="00355322"/>
    <w:rPr>
      <w:b/>
      <w:sz w:val="24"/>
      <w:u w:val="single"/>
    </w:rPr>
  </w:style>
  <w:style w:type="character" w:styleId="BookTitle">
    <w:name w:val="Book Title"/>
    <w:basedOn w:val="DefaultParagraphFont"/>
    <w:uiPriority w:val="33"/>
    <w:qFormat/>
    <w:rsid w:val="0035532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55322"/>
    <w:pPr>
      <w:outlineLvl w:val="9"/>
    </w:pPr>
  </w:style>
  <w:style w:type="paragraph" w:styleId="Header">
    <w:name w:val="header"/>
    <w:basedOn w:val="Normal"/>
    <w:link w:val="HeaderChar"/>
    <w:uiPriority w:val="99"/>
    <w:unhideWhenUsed/>
    <w:rsid w:val="00123EB9"/>
    <w:pPr>
      <w:tabs>
        <w:tab w:val="center" w:pos="4513"/>
        <w:tab w:val="right" w:pos="9026"/>
      </w:tabs>
      <w:spacing w:after="0" w:line="240" w:lineRule="auto"/>
    </w:pPr>
    <w:rPr>
      <w:rFonts w:cs="Times New Roman"/>
      <w:sz w:val="24"/>
      <w:szCs w:val="24"/>
    </w:rPr>
  </w:style>
  <w:style w:type="character" w:customStyle="1" w:styleId="HeaderChar">
    <w:name w:val="Header Char"/>
    <w:basedOn w:val="DefaultParagraphFont"/>
    <w:link w:val="Header"/>
    <w:uiPriority w:val="99"/>
    <w:rsid w:val="00123EB9"/>
  </w:style>
  <w:style w:type="paragraph" w:styleId="Footer">
    <w:name w:val="footer"/>
    <w:basedOn w:val="Normal"/>
    <w:link w:val="FooterChar"/>
    <w:uiPriority w:val="99"/>
    <w:unhideWhenUsed/>
    <w:rsid w:val="00123EB9"/>
    <w:pPr>
      <w:tabs>
        <w:tab w:val="center" w:pos="4513"/>
        <w:tab w:val="right" w:pos="9026"/>
      </w:tabs>
      <w:spacing w:after="0" w:line="240" w:lineRule="auto"/>
    </w:pPr>
    <w:rPr>
      <w:rFonts w:cs="Times New Roman"/>
      <w:sz w:val="24"/>
      <w:szCs w:val="24"/>
    </w:rPr>
  </w:style>
  <w:style w:type="character" w:customStyle="1" w:styleId="FooterChar">
    <w:name w:val="Footer Char"/>
    <w:basedOn w:val="DefaultParagraphFont"/>
    <w:link w:val="Footer"/>
    <w:uiPriority w:val="99"/>
    <w:rsid w:val="00123EB9"/>
  </w:style>
  <w:style w:type="paragraph" w:styleId="BalloonText">
    <w:name w:val="Balloon Text"/>
    <w:basedOn w:val="Normal"/>
    <w:link w:val="BalloonTextChar"/>
    <w:uiPriority w:val="99"/>
    <w:semiHidden/>
    <w:unhideWhenUsed/>
    <w:rsid w:val="00123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EB9"/>
    <w:rPr>
      <w:rFonts w:ascii="Tahoma" w:hAnsi="Tahoma" w:cs="Tahoma"/>
      <w:sz w:val="16"/>
      <w:szCs w:val="16"/>
    </w:rPr>
  </w:style>
  <w:style w:type="paragraph" w:styleId="NormalWeb">
    <w:name w:val="Normal (Web)"/>
    <w:basedOn w:val="Normal"/>
    <w:uiPriority w:val="99"/>
    <w:semiHidden/>
    <w:unhideWhenUsed/>
    <w:rsid w:val="00DD35A8"/>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DefaultParagraphFont"/>
    <w:uiPriority w:val="99"/>
    <w:unhideWhenUsed/>
    <w:rsid w:val="00DD35A8"/>
    <w:rPr>
      <w:color w:val="0000FF" w:themeColor="hyperlink"/>
      <w:u w:val="single"/>
    </w:rPr>
  </w:style>
  <w:style w:type="paragraph" w:styleId="ListBullet">
    <w:name w:val="List Bullet"/>
    <w:basedOn w:val="Normal"/>
    <w:uiPriority w:val="99"/>
    <w:semiHidden/>
    <w:unhideWhenUsed/>
    <w:rsid w:val="00F25FD9"/>
    <w:pPr>
      <w:numPr>
        <w:numId w:val="1"/>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4"/>
        <w:szCs w:val="24"/>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EB9"/>
    <w:pPr>
      <w:spacing w:after="160" w:line="259" w:lineRule="auto"/>
    </w:pPr>
    <w:rPr>
      <w:rFonts w:cstheme="minorBidi"/>
      <w:sz w:val="22"/>
      <w:szCs w:val="22"/>
    </w:rPr>
  </w:style>
  <w:style w:type="paragraph" w:styleId="Heading1">
    <w:name w:val="heading 1"/>
    <w:basedOn w:val="Normal"/>
    <w:next w:val="Normal"/>
    <w:link w:val="Heading1Char"/>
    <w:uiPriority w:val="9"/>
    <w:qFormat/>
    <w:rsid w:val="00355322"/>
    <w:pPr>
      <w:keepNext/>
      <w:spacing w:before="240" w:after="60" w:line="240" w:lineRule="auto"/>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semiHidden/>
    <w:unhideWhenUsed/>
    <w:qFormat/>
    <w:rsid w:val="00355322"/>
    <w:pPr>
      <w:keepNext/>
      <w:spacing w:before="240" w:after="60" w:line="240" w:lineRule="auto"/>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semiHidden/>
    <w:unhideWhenUsed/>
    <w:qFormat/>
    <w:rsid w:val="00355322"/>
    <w:pPr>
      <w:keepNext/>
      <w:spacing w:before="240" w:after="60" w:line="240" w:lineRule="auto"/>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semiHidden/>
    <w:unhideWhenUsed/>
    <w:qFormat/>
    <w:rsid w:val="00355322"/>
    <w:pPr>
      <w:keepNext/>
      <w:spacing w:before="240" w:after="60" w:line="240" w:lineRule="auto"/>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355322"/>
    <w:pPr>
      <w:spacing w:before="240" w:after="60" w:line="240" w:lineRule="auto"/>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355322"/>
    <w:pPr>
      <w:spacing w:before="240" w:after="60" w:line="240" w:lineRule="auto"/>
      <w:outlineLvl w:val="5"/>
    </w:pPr>
    <w:rPr>
      <w:rFonts w:cs="Times New Roman"/>
      <w:b/>
      <w:bCs/>
    </w:rPr>
  </w:style>
  <w:style w:type="paragraph" w:styleId="Heading7">
    <w:name w:val="heading 7"/>
    <w:basedOn w:val="Normal"/>
    <w:next w:val="Normal"/>
    <w:link w:val="Heading7Char"/>
    <w:uiPriority w:val="9"/>
    <w:semiHidden/>
    <w:unhideWhenUsed/>
    <w:qFormat/>
    <w:rsid w:val="00355322"/>
    <w:pPr>
      <w:spacing w:before="240" w:after="60" w:line="240" w:lineRule="auto"/>
      <w:outlineLvl w:val="6"/>
    </w:pPr>
    <w:rPr>
      <w:rFonts w:cs="Times New Roman"/>
      <w:sz w:val="24"/>
      <w:szCs w:val="24"/>
    </w:rPr>
  </w:style>
  <w:style w:type="paragraph" w:styleId="Heading8">
    <w:name w:val="heading 8"/>
    <w:basedOn w:val="Normal"/>
    <w:next w:val="Normal"/>
    <w:link w:val="Heading8Char"/>
    <w:uiPriority w:val="9"/>
    <w:semiHidden/>
    <w:unhideWhenUsed/>
    <w:qFormat/>
    <w:rsid w:val="00355322"/>
    <w:pPr>
      <w:spacing w:before="240" w:after="60" w:line="240" w:lineRule="auto"/>
      <w:outlineLvl w:val="7"/>
    </w:pPr>
    <w:rPr>
      <w:rFonts w:cs="Times New Roman"/>
      <w:i/>
      <w:iCs/>
      <w:sz w:val="24"/>
      <w:szCs w:val="24"/>
    </w:rPr>
  </w:style>
  <w:style w:type="paragraph" w:styleId="Heading9">
    <w:name w:val="heading 9"/>
    <w:basedOn w:val="Normal"/>
    <w:next w:val="Normal"/>
    <w:link w:val="Heading9Char"/>
    <w:uiPriority w:val="9"/>
    <w:semiHidden/>
    <w:unhideWhenUsed/>
    <w:qFormat/>
    <w:rsid w:val="00355322"/>
    <w:pPr>
      <w:spacing w:before="240" w:after="60" w:line="240" w:lineRule="auto"/>
      <w:outlineLvl w:val="8"/>
    </w:pPr>
    <w:rPr>
      <w:rFonts w:asciiTheme="majorHAnsi" w:eastAsiaTheme="majorEastAsia" w:hAnsiTheme="majorHAns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32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5532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5532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55322"/>
    <w:rPr>
      <w:b/>
      <w:bCs/>
      <w:sz w:val="28"/>
      <w:szCs w:val="28"/>
    </w:rPr>
  </w:style>
  <w:style w:type="character" w:customStyle="1" w:styleId="Heading5Char">
    <w:name w:val="Heading 5 Char"/>
    <w:basedOn w:val="DefaultParagraphFont"/>
    <w:link w:val="Heading5"/>
    <w:uiPriority w:val="9"/>
    <w:semiHidden/>
    <w:rsid w:val="00355322"/>
    <w:rPr>
      <w:b/>
      <w:bCs/>
      <w:i/>
      <w:iCs/>
      <w:sz w:val="26"/>
      <w:szCs w:val="26"/>
    </w:rPr>
  </w:style>
  <w:style w:type="character" w:customStyle="1" w:styleId="Heading6Char">
    <w:name w:val="Heading 6 Char"/>
    <w:basedOn w:val="DefaultParagraphFont"/>
    <w:link w:val="Heading6"/>
    <w:uiPriority w:val="9"/>
    <w:semiHidden/>
    <w:rsid w:val="00355322"/>
    <w:rPr>
      <w:b/>
      <w:bCs/>
    </w:rPr>
  </w:style>
  <w:style w:type="character" w:customStyle="1" w:styleId="Heading7Char">
    <w:name w:val="Heading 7 Char"/>
    <w:basedOn w:val="DefaultParagraphFont"/>
    <w:link w:val="Heading7"/>
    <w:uiPriority w:val="9"/>
    <w:semiHidden/>
    <w:rsid w:val="00355322"/>
    <w:rPr>
      <w:sz w:val="24"/>
      <w:szCs w:val="24"/>
    </w:rPr>
  </w:style>
  <w:style w:type="character" w:customStyle="1" w:styleId="Heading8Char">
    <w:name w:val="Heading 8 Char"/>
    <w:basedOn w:val="DefaultParagraphFont"/>
    <w:link w:val="Heading8"/>
    <w:uiPriority w:val="9"/>
    <w:semiHidden/>
    <w:rsid w:val="00355322"/>
    <w:rPr>
      <w:i/>
      <w:iCs/>
      <w:sz w:val="24"/>
      <w:szCs w:val="24"/>
    </w:rPr>
  </w:style>
  <w:style w:type="character" w:customStyle="1" w:styleId="Heading9Char">
    <w:name w:val="Heading 9 Char"/>
    <w:basedOn w:val="DefaultParagraphFont"/>
    <w:link w:val="Heading9"/>
    <w:uiPriority w:val="9"/>
    <w:semiHidden/>
    <w:rsid w:val="00355322"/>
    <w:rPr>
      <w:rFonts w:asciiTheme="majorHAnsi" w:eastAsiaTheme="majorEastAsia" w:hAnsiTheme="majorHAnsi"/>
    </w:rPr>
  </w:style>
  <w:style w:type="paragraph" w:styleId="Title">
    <w:name w:val="Title"/>
    <w:basedOn w:val="Normal"/>
    <w:next w:val="Normal"/>
    <w:link w:val="TitleChar"/>
    <w:uiPriority w:val="10"/>
    <w:qFormat/>
    <w:rsid w:val="00355322"/>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35532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55322"/>
    <w:pPr>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355322"/>
    <w:rPr>
      <w:rFonts w:asciiTheme="majorHAnsi" w:eastAsiaTheme="majorEastAsia" w:hAnsiTheme="majorHAnsi"/>
      <w:sz w:val="24"/>
      <w:szCs w:val="24"/>
    </w:rPr>
  </w:style>
  <w:style w:type="character" w:styleId="Strong">
    <w:name w:val="Strong"/>
    <w:basedOn w:val="DefaultParagraphFont"/>
    <w:uiPriority w:val="22"/>
    <w:qFormat/>
    <w:rsid w:val="00355322"/>
    <w:rPr>
      <w:b/>
      <w:bCs/>
    </w:rPr>
  </w:style>
  <w:style w:type="character" w:styleId="Emphasis">
    <w:name w:val="Emphasis"/>
    <w:basedOn w:val="DefaultParagraphFont"/>
    <w:uiPriority w:val="20"/>
    <w:qFormat/>
    <w:rsid w:val="00355322"/>
    <w:rPr>
      <w:rFonts w:asciiTheme="minorHAnsi" w:hAnsiTheme="minorHAnsi"/>
      <w:b/>
      <w:i/>
      <w:iCs/>
    </w:rPr>
  </w:style>
  <w:style w:type="paragraph" w:styleId="NoSpacing">
    <w:name w:val="No Spacing"/>
    <w:basedOn w:val="Normal"/>
    <w:uiPriority w:val="1"/>
    <w:qFormat/>
    <w:rsid w:val="00355322"/>
    <w:pPr>
      <w:spacing w:after="0" w:line="240" w:lineRule="auto"/>
    </w:pPr>
    <w:rPr>
      <w:rFonts w:cs="Times New Roman"/>
      <w:sz w:val="24"/>
      <w:szCs w:val="32"/>
    </w:rPr>
  </w:style>
  <w:style w:type="paragraph" w:styleId="ListParagraph">
    <w:name w:val="List Paragraph"/>
    <w:basedOn w:val="Normal"/>
    <w:uiPriority w:val="34"/>
    <w:qFormat/>
    <w:rsid w:val="00355322"/>
    <w:pPr>
      <w:spacing w:after="0" w:line="240" w:lineRule="auto"/>
      <w:ind w:left="720"/>
      <w:contextualSpacing/>
    </w:pPr>
    <w:rPr>
      <w:rFonts w:cs="Times New Roman"/>
      <w:sz w:val="24"/>
      <w:szCs w:val="24"/>
    </w:rPr>
  </w:style>
  <w:style w:type="paragraph" w:styleId="Quote">
    <w:name w:val="Quote"/>
    <w:basedOn w:val="Normal"/>
    <w:next w:val="Normal"/>
    <w:link w:val="QuoteChar"/>
    <w:uiPriority w:val="29"/>
    <w:qFormat/>
    <w:rsid w:val="00355322"/>
    <w:pPr>
      <w:spacing w:after="0" w:line="240" w:lineRule="auto"/>
    </w:pPr>
    <w:rPr>
      <w:rFonts w:cs="Times New Roman"/>
      <w:i/>
      <w:sz w:val="24"/>
      <w:szCs w:val="24"/>
    </w:rPr>
  </w:style>
  <w:style w:type="character" w:customStyle="1" w:styleId="QuoteChar">
    <w:name w:val="Quote Char"/>
    <w:basedOn w:val="DefaultParagraphFont"/>
    <w:link w:val="Quote"/>
    <w:uiPriority w:val="29"/>
    <w:rsid w:val="00355322"/>
    <w:rPr>
      <w:i/>
      <w:sz w:val="24"/>
      <w:szCs w:val="24"/>
    </w:rPr>
  </w:style>
  <w:style w:type="paragraph" w:styleId="IntenseQuote">
    <w:name w:val="Intense Quote"/>
    <w:basedOn w:val="Normal"/>
    <w:next w:val="Normal"/>
    <w:link w:val="IntenseQuoteChar"/>
    <w:uiPriority w:val="30"/>
    <w:qFormat/>
    <w:rsid w:val="00355322"/>
    <w:pPr>
      <w:spacing w:after="0" w:line="240" w:lineRule="auto"/>
      <w:ind w:left="720" w:right="720"/>
    </w:pPr>
    <w:rPr>
      <w:rFonts w:cs="Times New Roman"/>
      <w:b/>
      <w:i/>
      <w:sz w:val="24"/>
    </w:rPr>
  </w:style>
  <w:style w:type="character" w:customStyle="1" w:styleId="IntenseQuoteChar">
    <w:name w:val="Intense Quote Char"/>
    <w:basedOn w:val="DefaultParagraphFont"/>
    <w:link w:val="IntenseQuote"/>
    <w:uiPriority w:val="30"/>
    <w:rsid w:val="00355322"/>
    <w:rPr>
      <w:b/>
      <w:i/>
      <w:sz w:val="24"/>
    </w:rPr>
  </w:style>
  <w:style w:type="character" w:styleId="SubtleEmphasis">
    <w:name w:val="Subtle Emphasis"/>
    <w:uiPriority w:val="19"/>
    <w:qFormat/>
    <w:rsid w:val="00355322"/>
    <w:rPr>
      <w:i/>
      <w:color w:val="5A5A5A" w:themeColor="text1" w:themeTint="A5"/>
    </w:rPr>
  </w:style>
  <w:style w:type="character" w:styleId="IntenseEmphasis">
    <w:name w:val="Intense Emphasis"/>
    <w:basedOn w:val="DefaultParagraphFont"/>
    <w:uiPriority w:val="21"/>
    <w:qFormat/>
    <w:rsid w:val="00355322"/>
    <w:rPr>
      <w:b/>
      <w:i/>
      <w:sz w:val="24"/>
      <w:szCs w:val="24"/>
      <w:u w:val="single"/>
    </w:rPr>
  </w:style>
  <w:style w:type="character" w:styleId="SubtleReference">
    <w:name w:val="Subtle Reference"/>
    <w:basedOn w:val="DefaultParagraphFont"/>
    <w:uiPriority w:val="31"/>
    <w:qFormat/>
    <w:rsid w:val="00355322"/>
    <w:rPr>
      <w:sz w:val="24"/>
      <w:szCs w:val="24"/>
      <w:u w:val="single"/>
    </w:rPr>
  </w:style>
  <w:style w:type="character" w:styleId="IntenseReference">
    <w:name w:val="Intense Reference"/>
    <w:basedOn w:val="DefaultParagraphFont"/>
    <w:uiPriority w:val="32"/>
    <w:qFormat/>
    <w:rsid w:val="00355322"/>
    <w:rPr>
      <w:b/>
      <w:sz w:val="24"/>
      <w:u w:val="single"/>
    </w:rPr>
  </w:style>
  <w:style w:type="character" w:styleId="BookTitle">
    <w:name w:val="Book Title"/>
    <w:basedOn w:val="DefaultParagraphFont"/>
    <w:uiPriority w:val="33"/>
    <w:qFormat/>
    <w:rsid w:val="0035532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55322"/>
    <w:pPr>
      <w:outlineLvl w:val="9"/>
    </w:pPr>
  </w:style>
  <w:style w:type="paragraph" w:styleId="Header">
    <w:name w:val="header"/>
    <w:basedOn w:val="Normal"/>
    <w:link w:val="HeaderChar"/>
    <w:uiPriority w:val="99"/>
    <w:unhideWhenUsed/>
    <w:rsid w:val="00123EB9"/>
    <w:pPr>
      <w:tabs>
        <w:tab w:val="center" w:pos="4513"/>
        <w:tab w:val="right" w:pos="9026"/>
      </w:tabs>
      <w:spacing w:after="0" w:line="240" w:lineRule="auto"/>
    </w:pPr>
    <w:rPr>
      <w:rFonts w:cs="Times New Roman"/>
      <w:sz w:val="24"/>
      <w:szCs w:val="24"/>
    </w:rPr>
  </w:style>
  <w:style w:type="character" w:customStyle="1" w:styleId="HeaderChar">
    <w:name w:val="Header Char"/>
    <w:basedOn w:val="DefaultParagraphFont"/>
    <w:link w:val="Header"/>
    <w:uiPriority w:val="99"/>
    <w:rsid w:val="00123EB9"/>
  </w:style>
  <w:style w:type="paragraph" w:styleId="Footer">
    <w:name w:val="footer"/>
    <w:basedOn w:val="Normal"/>
    <w:link w:val="FooterChar"/>
    <w:uiPriority w:val="99"/>
    <w:unhideWhenUsed/>
    <w:rsid w:val="00123EB9"/>
    <w:pPr>
      <w:tabs>
        <w:tab w:val="center" w:pos="4513"/>
        <w:tab w:val="right" w:pos="9026"/>
      </w:tabs>
      <w:spacing w:after="0" w:line="240" w:lineRule="auto"/>
    </w:pPr>
    <w:rPr>
      <w:rFonts w:cs="Times New Roman"/>
      <w:sz w:val="24"/>
      <w:szCs w:val="24"/>
    </w:rPr>
  </w:style>
  <w:style w:type="character" w:customStyle="1" w:styleId="FooterChar">
    <w:name w:val="Footer Char"/>
    <w:basedOn w:val="DefaultParagraphFont"/>
    <w:link w:val="Footer"/>
    <w:uiPriority w:val="99"/>
    <w:rsid w:val="00123EB9"/>
  </w:style>
  <w:style w:type="paragraph" w:styleId="BalloonText">
    <w:name w:val="Balloon Text"/>
    <w:basedOn w:val="Normal"/>
    <w:link w:val="BalloonTextChar"/>
    <w:uiPriority w:val="99"/>
    <w:semiHidden/>
    <w:unhideWhenUsed/>
    <w:rsid w:val="00123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EB9"/>
    <w:rPr>
      <w:rFonts w:ascii="Tahoma" w:hAnsi="Tahoma" w:cs="Tahoma"/>
      <w:sz w:val="16"/>
      <w:szCs w:val="16"/>
    </w:rPr>
  </w:style>
  <w:style w:type="paragraph" w:styleId="NormalWeb">
    <w:name w:val="Normal (Web)"/>
    <w:basedOn w:val="Normal"/>
    <w:uiPriority w:val="99"/>
    <w:semiHidden/>
    <w:unhideWhenUsed/>
    <w:rsid w:val="00DD35A8"/>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DefaultParagraphFont"/>
    <w:uiPriority w:val="99"/>
    <w:unhideWhenUsed/>
    <w:rsid w:val="00DD35A8"/>
    <w:rPr>
      <w:color w:val="0000FF" w:themeColor="hyperlink"/>
      <w:u w:val="single"/>
    </w:rPr>
  </w:style>
  <w:style w:type="paragraph" w:styleId="ListBullet">
    <w:name w:val="List Bullet"/>
    <w:basedOn w:val="Normal"/>
    <w:uiPriority w:val="99"/>
    <w:semiHidden/>
    <w:unhideWhenUsed/>
    <w:rsid w:val="00F25FD9"/>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82726">
      <w:bodyDiv w:val="1"/>
      <w:marLeft w:val="0"/>
      <w:marRight w:val="0"/>
      <w:marTop w:val="0"/>
      <w:marBottom w:val="0"/>
      <w:divBdr>
        <w:top w:val="none" w:sz="0" w:space="0" w:color="auto"/>
        <w:left w:val="none" w:sz="0" w:space="0" w:color="auto"/>
        <w:bottom w:val="none" w:sz="0" w:space="0" w:color="auto"/>
        <w:right w:val="none" w:sz="0" w:space="0" w:color="auto"/>
      </w:divBdr>
    </w:div>
    <w:div w:id="288972320">
      <w:bodyDiv w:val="1"/>
      <w:marLeft w:val="0"/>
      <w:marRight w:val="0"/>
      <w:marTop w:val="0"/>
      <w:marBottom w:val="0"/>
      <w:divBdr>
        <w:top w:val="none" w:sz="0" w:space="0" w:color="auto"/>
        <w:left w:val="none" w:sz="0" w:space="0" w:color="auto"/>
        <w:bottom w:val="none" w:sz="0" w:space="0" w:color="auto"/>
        <w:right w:val="none" w:sz="0" w:space="0" w:color="auto"/>
      </w:divBdr>
    </w:div>
    <w:div w:id="360593066">
      <w:bodyDiv w:val="1"/>
      <w:marLeft w:val="0"/>
      <w:marRight w:val="0"/>
      <w:marTop w:val="0"/>
      <w:marBottom w:val="0"/>
      <w:divBdr>
        <w:top w:val="none" w:sz="0" w:space="0" w:color="auto"/>
        <w:left w:val="none" w:sz="0" w:space="0" w:color="auto"/>
        <w:bottom w:val="none" w:sz="0" w:space="0" w:color="auto"/>
        <w:right w:val="none" w:sz="0" w:space="0" w:color="auto"/>
      </w:divBdr>
    </w:div>
    <w:div w:id="450635438">
      <w:bodyDiv w:val="1"/>
      <w:marLeft w:val="0"/>
      <w:marRight w:val="0"/>
      <w:marTop w:val="0"/>
      <w:marBottom w:val="0"/>
      <w:divBdr>
        <w:top w:val="none" w:sz="0" w:space="0" w:color="auto"/>
        <w:left w:val="none" w:sz="0" w:space="0" w:color="auto"/>
        <w:bottom w:val="none" w:sz="0" w:space="0" w:color="auto"/>
        <w:right w:val="none" w:sz="0" w:space="0" w:color="auto"/>
      </w:divBdr>
      <w:divsChild>
        <w:div w:id="1368411425">
          <w:marLeft w:val="0"/>
          <w:marRight w:val="0"/>
          <w:marTop w:val="0"/>
          <w:marBottom w:val="0"/>
          <w:divBdr>
            <w:top w:val="none" w:sz="0" w:space="0" w:color="auto"/>
            <w:left w:val="none" w:sz="0" w:space="0" w:color="auto"/>
            <w:bottom w:val="none" w:sz="0" w:space="0" w:color="auto"/>
            <w:right w:val="none" w:sz="0" w:space="0" w:color="auto"/>
          </w:divBdr>
        </w:div>
        <w:div w:id="168176684">
          <w:marLeft w:val="0"/>
          <w:marRight w:val="0"/>
          <w:marTop w:val="0"/>
          <w:marBottom w:val="0"/>
          <w:divBdr>
            <w:top w:val="none" w:sz="0" w:space="0" w:color="auto"/>
            <w:left w:val="none" w:sz="0" w:space="0" w:color="auto"/>
            <w:bottom w:val="none" w:sz="0" w:space="0" w:color="auto"/>
            <w:right w:val="none" w:sz="0" w:space="0" w:color="auto"/>
          </w:divBdr>
        </w:div>
        <w:div w:id="753937438">
          <w:marLeft w:val="0"/>
          <w:marRight w:val="0"/>
          <w:marTop w:val="0"/>
          <w:marBottom w:val="0"/>
          <w:divBdr>
            <w:top w:val="none" w:sz="0" w:space="0" w:color="auto"/>
            <w:left w:val="none" w:sz="0" w:space="0" w:color="auto"/>
            <w:bottom w:val="none" w:sz="0" w:space="0" w:color="auto"/>
            <w:right w:val="none" w:sz="0" w:space="0" w:color="auto"/>
          </w:divBdr>
        </w:div>
      </w:divsChild>
    </w:div>
    <w:div w:id="1539928234">
      <w:bodyDiv w:val="1"/>
      <w:marLeft w:val="0"/>
      <w:marRight w:val="0"/>
      <w:marTop w:val="0"/>
      <w:marBottom w:val="0"/>
      <w:divBdr>
        <w:top w:val="none" w:sz="0" w:space="0" w:color="auto"/>
        <w:left w:val="none" w:sz="0" w:space="0" w:color="auto"/>
        <w:bottom w:val="none" w:sz="0" w:space="0" w:color="auto"/>
        <w:right w:val="none" w:sz="0" w:space="0" w:color="auto"/>
      </w:divBdr>
    </w:div>
    <w:div w:id="1581022449">
      <w:bodyDiv w:val="1"/>
      <w:marLeft w:val="0"/>
      <w:marRight w:val="0"/>
      <w:marTop w:val="0"/>
      <w:marBottom w:val="0"/>
      <w:divBdr>
        <w:top w:val="none" w:sz="0" w:space="0" w:color="auto"/>
        <w:left w:val="none" w:sz="0" w:space="0" w:color="auto"/>
        <w:bottom w:val="none" w:sz="0" w:space="0" w:color="auto"/>
        <w:right w:val="none" w:sz="0" w:space="0" w:color="auto"/>
      </w:divBdr>
    </w:div>
    <w:div w:id="1634216145">
      <w:bodyDiv w:val="1"/>
      <w:marLeft w:val="0"/>
      <w:marRight w:val="0"/>
      <w:marTop w:val="0"/>
      <w:marBottom w:val="0"/>
      <w:divBdr>
        <w:top w:val="none" w:sz="0" w:space="0" w:color="auto"/>
        <w:left w:val="none" w:sz="0" w:space="0" w:color="auto"/>
        <w:bottom w:val="none" w:sz="0" w:space="0" w:color="auto"/>
        <w:right w:val="none" w:sz="0" w:space="0" w:color="auto"/>
      </w:divBdr>
    </w:div>
    <w:div w:id="1636910090">
      <w:bodyDiv w:val="1"/>
      <w:marLeft w:val="0"/>
      <w:marRight w:val="0"/>
      <w:marTop w:val="0"/>
      <w:marBottom w:val="0"/>
      <w:divBdr>
        <w:top w:val="none" w:sz="0" w:space="0" w:color="auto"/>
        <w:left w:val="none" w:sz="0" w:space="0" w:color="auto"/>
        <w:bottom w:val="none" w:sz="0" w:space="0" w:color="auto"/>
        <w:right w:val="none" w:sz="0" w:space="0" w:color="auto"/>
      </w:divBdr>
    </w:div>
    <w:div w:id="1768889403">
      <w:bodyDiv w:val="1"/>
      <w:marLeft w:val="0"/>
      <w:marRight w:val="0"/>
      <w:marTop w:val="0"/>
      <w:marBottom w:val="0"/>
      <w:divBdr>
        <w:top w:val="none" w:sz="0" w:space="0" w:color="auto"/>
        <w:left w:val="none" w:sz="0" w:space="0" w:color="auto"/>
        <w:bottom w:val="none" w:sz="0" w:space="0" w:color="auto"/>
        <w:right w:val="none" w:sz="0" w:space="0" w:color="auto"/>
      </w:divBdr>
      <w:divsChild>
        <w:div w:id="1710837336">
          <w:marLeft w:val="0"/>
          <w:marRight w:val="0"/>
          <w:marTop w:val="0"/>
          <w:marBottom w:val="0"/>
          <w:divBdr>
            <w:top w:val="none" w:sz="0" w:space="0" w:color="auto"/>
            <w:left w:val="none" w:sz="0" w:space="0" w:color="auto"/>
            <w:bottom w:val="none" w:sz="0" w:space="0" w:color="auto"/>
            <w:right w:val="none" w:sz="0" w:space="0" w:color="auto"/>
          </w:divBdr>
        </w:div>
        <w:div w:id="575480518">
          <w:marLeft w:val="0"/>
          <w:marRight w:val="0"/>
          <w:marTop w:val="0"/>
          <w:marBottom w:val="0"/>
          <w:divBdr>
            <w:top w:val="none" w:sz="0" w:space="0" w:color="auto"/>
            <w:left w:val="none" w:sz="0" w:space="0" w:color="auto"/>
            <w:bottom w:val="none" w:sz="0" w:space="0" w:color="auto"/>
            <w:right w:val="none" w:sz="0" w:space="0" w:color="auto"/>
          </w:divBdr>
        </w:div>
        <w:div w:id="313948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eammodel.dk" TargetMode="External"/><Relationship Id="rId13" Type="http://schemas.openxmlformats.org/officeDocument/2006/relationships/hyperlink" Target="http://www.ens.dk/sites/ens.dk/files/byggeri/Strategi-for-energirenovering-af-bygninger/strategi-for-energirenovering-af-bygninger-web-050514.pdf" TargetMode="External"/><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reammodel.dk/pdf/HousingDemand2013.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dreammodel.d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sbi.dk/byggeteknik/kvalitet/levetider-af-bygningsdele-ved-vurdering-af-baeredygtighed-og-totalokonomi-1/levetider-af-bygningsdele-ved-vurdering-af-baeredygtighed-og-totalokonomi"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ens.dk/sites/ens.dk/files/byggeri/Strategi-for-energirenovering-af-bygninger/strategi-for-energirenovering-af-bygninger-web-050514.pdf" TargetMode="External"/><Relationship Id="rId14" Type="http://schemas.openxmlformats.org/officeDocument/2006/relationships/hyperlink" Target="http://www.sbi.dk/byggeteknik/kvalitet/levetider-af-bygningsdele-ved-vurdering-af-baeredygtighed-og-totalokonomi-1/levetider-af-bygningsdele-ved-vurdering-af-baeredygtighed-og-totalokonom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843</Words>
  <Characters>5145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5977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Petrovic</dc:creator>
  <cp:keywords/>
  <dc:description/>
  <cp:lastModifiedBy>Stefan Petrovic</cp:lastModifiedBy>
  <cp:revision>8</cp:revision>
  <dcterms:created xsi:type="dcterms:W3CDTF">2015-06-15T12:41:00Z</dcterms:created>
  <dcterms:modified xsi:type="dcterms:W3CDTF">2015-06-18T14:57:00Z</dcterms:modified>
</cp:coreProperties>
</file>