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1" w:type="dxa"/>
        <w:tblLayout w:type="fixed"/>
        <w:tblCellMar>
          <w:left w:w="0" w:type="dxa"/>
          <w:right w:w="0" w:type="dxa"/>
        </w:tblCellMar>
        <w:tblLook w:val="01E0" w:firstRow="1" w:lastRow="1" w:firstColumn="1" w:lastColumn="1" w:noHBand="0" w:noVBand="0"/>
      </w:tblPr>
      <w:tblGrid>
        <w:gridCol w:w="7083"/>
        <w:gridCol w:w="2128"/>
      </w:tblGrid>
      <w:tr w:rsidR="00F555CE" w:rsidTr="006B601C">
        <w:trPr>
          <w:trHeight w:val="3119"/>
        </w:trPr>
        <w:tc>
          <w:tcPr>
            <w:tcW w:w="7083" w:type="dxa"/>
          </w:tcPr>
          <w:p w:rsidR="00F555CE" w:rsidRDefault="00DC65A6" w:rsidP="0093370F">
            <w:pPr>
              <w:pStyle w:val="Normal-DokumentNavn"/>
            </w:pPr>
            <w:r>
              <w:t>Documentation</w:t>
            </w:r>
          </w:p>
        </w:tc>
        <w:tc>
          <w:tcPr>
            <w:tcW w:w="2128" w:type="dxa"/>
          </w:tcPr>
          <w:p w:rsidR="00F555CE" w:rsidRDefault="00217391" w:rsidP="006B601C">
            <w:pPr>
              <w:pStyle w:val="Normal-Infotekst"/>
            </w:pPr>
            <w:r>
              <w:fldChar w:fldCharType="begin"/>
            </w:r>
            <w:r>
              <w:instrText xml:space="preserve"> CREATEDATE  \@ "d. MMMM yyyy"  \* MERGEFORMAT </w:instrText>
            </w:r>
            <w:r>
              <w:fldChar w:fldCharType="separate"/>
            </w:r>
            <w:r w:rsidR="00DC65A6">
              <w:rPr>
                <w:noProof/>
              </w:rPr>
              <w:t>21. January 2015</w:t>
            </w:r>
            <w:r>
              <w:rPr>
                <w:noProof/>
              </w:rPr>
              <w:fldChar w:fldCharType="end"/>
            </w:r>
          </w:p>
          <w:p w:rsidR="00F555CE" w:rsidRDefault="0069729D" w:rsidP="006B601C">
            <w:pPr>
              <w:pStyle w:val="Normal-Infotekst"/>
            </w:pPr>
            <w:r>
              <w:t>File no</w:t>
            </w:r>
            <w:r w:rsidR="00F555CE">
              <w:t xml:space="preserve">. </w:t>
            </w:r>
            <w:bookmarkStart w:id="0" w:name="bmkFldJournalNr"/>
            <w:bookmarkEnd w:id="0"/>
            <w:r w:rsidR="00DC65A6">
              <w:t>4006/4009-0008</w:t>
            </w:r>
          </w:p>
          <w:p w:rsidR="00F555CE" w:rsidRDefault="00F555CE" w:rsidP="006B601C">
            <w:pPr>
              <w:pStyle w:val="Normal-Infotekst"/>
            </w:pPr>
            <w:r>
              <w:t xml:space="preserve">Ref. </w:t>
            </w:r>
            <w:bookmarkStart w:id="1" w:name="bmkADReference"/>
            <w:bookmarkEnd w:id="1"/>
            <w:proofErr w:type="spellStart"/>
            <w:r w:rsidR="00DC65A6">
              <w:t>bge</w:t>
            </w:r>
            <w:proofErr w:type="spellEnd"/>
          </w:p>
          <w:p w:rsidR="00F555CE" w:rsidRDefault="00F555CE" w:rsidP="006B601C">
            <w:pPr>
              <w:pStyle w:val="Normal-Infotekst"/>
            </w:pPr>
            <w:bookmarkStart w:id="2" w:name="bmkADOmrådeUk"/>
            <w:bookmarkEnd w:id="2"/>
          </w:p>
          <w:p w:rsidR="00F555CE" w:rsidRDefault="00F555CE" w:rsidP="006B601C">
            <w:pPr>
              <w:pStyle w:val="Normal-Infotekst"/>
            </w:pPr>
          </w:p>
          <w:p w:rsidR="00F555CE" w:rsidRDefault="0069729D" w:rsidP="006B601C">
            <w:pPr>
              <w:pStyle w:val="Normal-Infotekst"/>
            </w:pPr>
            <w:r>
              <w:t>Page</w:t>
            </w:r>
            <w:r w:rsidR="00F555CE">
              <w:t xml:space="preserve"> </w:t>
            </w:r>
            <w:r w:rsidR="00217391">
              <w:fldChar w:fldCharType="begin"/>
            </w:r>
            <w:r w:rsidR="00217391">
              <w:instrText xml:space="preserve"> PAGE  \* MERGEFORMAT </w:instrText>
            </w:r>
            <w:r w:rsidR="00217391">
              <w:fldChar w:fldCharType="separate"/>
            </w:r>
            <w:r w:rsidR="00451E65">
              <w:rPr>
                <w:noProof/>
              </w:rPr>
              <w:t>1</w:t>
            </w:r>
            <w:r w:rsidR="00217391">
              <w:rPr>
                <w:noProof/>
              </w:rPr>
              <w:fldChar w:fldCharType="end"/>
            </w:r>
          </w:p>
        </w:tc>
      </w:tr>
    </w:tbl>
    <w:p w:rsidR="00412BBD" w:rsidRPr="00451E65" w:rsidRDefault="00DC65A6">
      <w:pPr>
        <w:rPr>
          <w:b/>
        </w:rPr>
      </w:pPr>
      <w:bookmarkStart w:id="3" w:name="korttekst"/>
      <w:bookmarkStart w:id="4" w:name="PCAStart"/>
      <w:bookmarkStart w:id="5" w:name="bmkADName"/>
      <w:bookmarkEnd w:id="3"/>
      <w:bookmarkEnd w:id="4"/>
      <w:bookmarkEnd w:id="5"/>
      <w:r>
        <w:rPr>
          <w:b/>
        </w:rPr>
        <w:t>DREAM’s projection of the Danish demand for dwellings</w:t>
      </w:r>
    </w:p>
    <w:p w:rsidR="007809FD" w:rsidRDefault="007809FD"/>
    <w:p w:rsidR="00DE61EF" w:rsidRPr="00DE61EF" w:rsidRDefault="00DE61EF" w:rsidP="007809FD">
      <w:pPr>
        <w:rPr>
          <w:i/>
        </w:rPr>
      </w:pPr>
      <w:r w:rsidRPr="00DE61EF">
        <w:rPr>
          <w:i/>
        </w:rPr>
        <w:t>Background</w:t>
      </w:r>
    </w:p>
    <w:p w:rsidR="004F7A64" w:rsidRDefault="00881F6A" w:rsidP="007809FD">
      <w:r>
        <w:t>Heated dwellings are one of the main energy services demanded by households. The amount of energy required to meet this energy service demand depends on a number of factors, i</w:t>
      </w:r>
      <w:r>
        <w:t>n</w:t>
      </w:r>
      <w:r>
        <w:t>cluding the type and size of the dwellings (</w:t>
      </w:r>
      <w:r w:rsidR="003D6613">
        <w:t>e.g.</w:t>
      </w:r>
      <w:r>
        <w:t xml:space="preserve"> number of m2</w:t>
      </w:r>
      <w:r w:rsidR="003D6613">
        <w:t xml:space="preserve"> in detached houses and </w:t>
      </w:r>
      <w:proofErr w:type="spellStart"/>
      <w:r w:rsidR="003D6613">
        <w:t>mult</w:t>
      </w:r>
      <w:r w:rsidR="003D6613">
        <w:t>i</w:t>
      </w:r>
      <w:r w:rsidR="003D6613">
        <w:t>storey</w:t>
      </w:r>
      <w:proofErr w:type="spellEnd"/>
      <w:r w:rsidR="003D6613">
        <w:t xml:space="preserve"> buildings</w:t>
      </w:r>
      <w:r>
        <w:t xml:space="preserve">) and the </w:t>
      </w:r>
      <w:r w:rsidR="003D6613">
        <w:t xml:space="preserve">technology and </w:t>
      </w:r>
      <w:r>
        <w:t>quality of these dwellings (</w:t>
      </w:r>
      <w:r w:rsidR="003D6613">
        <w:t>e.g.</w:t>
      </w:r>
      <w:r>
        <w:t xml:space="preserve"> </w:t>
      </w:r>
      <w:r w:rsidR="003D6613">
        <w:t xml:space="preserve">heating sources, </w:t>
      </w:r>
      <w:r>
        <w:t>is</w:t>
      </w:r>
      <w:r>
        <w:t>o</w:t>
      </w:r>
      <w:r>
        <w:t xml:space="preserve">lation standards, etc.). </w:t>
      </w:r>
    </w:p>
    <w:p w:rsidR="004F7A64" w:rsidRDefault="004F7A64" w:rsidP="007809FD"/>
    <w:p w:rsidR="007809FD" w:rsidRPr="007809FD" w:rsidRDefault="00881F6A" w:rsidP="007809FD">
      <w:r>
        <w:t xml:space="preserve">In IntERACT </w:t>
      </w:r>
      <w:r w:rsidR="0044691F">
        <w:t xml:space="preserve">the energy related technology and quality of dwellings is determined by the TIMES model, </w:t>
      </w:r>
      <w:r w:rsidR="004F7A64">
        <w:t>while</w:t>
      </w:r>
      <w:r w:rsidR="0044691F">
        <w:t xml:space="preserve"> </w:t>
      </w:r>
      <w:r>
        <w:t>the</w:t>
      </w:r>
      <w:r w:rsidR="0044691F">
        <w:t xml:space="preserve"> type and size of the dwellings is assumed to be exogenous to I</w:t>
      </w:r>
      <w:r w:rsidR="0044691F">
        <w:t>n</w:t>
      </w:r>
      <w:r w:rsidR="0044691F">
        <w:t>tERACT. IntERACT thus requires a projection of the type and size of dwellings in Denmark for the period 2010-2050.</w:t>
      </w:r>
      <w:r w:rsidR="00D51208">
        <w:t xml:space="preserve"> To this end, IntERACT has commissioned a projection from DREAM of </w:t>
      </w:r>
      <w:r w:rsidR="00DC65A6">
        <w:t>the Danish demand for dwell</w:t>
      </w:r>
      <w:r w:rsidR="00D51208">
        <w:t>ings based on their</w:t>
      </w:r>
      <w:r w:rsidR="00DC65A6">
        <w:t xml:space="preserve"> SMILE</w:t>
      </w:r>
      <w:r w:rsidR="004F7A64">
        <w:t xml:space="preserve"> model</w:t>
      </w:r>
      <w:r w:rsidR="00DC65A6">
        <w:t>.</w:t>
      </w:r>
    </w:p>
    <w:p w:rsidR="00DC65A6" w:rsidRDefault="00DC65A6" w:rsidP="005662A8"/>
    <w:p w:rsidR="00527312" w:rsidRPr="005662A8" w:rsidRDefault="00527312" w:rsidP="005662A8">
      <w:pPr>
        <w:rPr>
          <w:i/>
        </w:rPr>
      </w:pPr>
      <w:r w:rsidRPr="005662A8">
        <w:rPr>
          <w:i/>
        </w:rPr>
        <w:t>Method</w:t>
      </w:r>
      <w:r w:rsidR="004F7A64" w:rsidRPr="005662A8">
        <w:rPr>
          <w:i/>
        </w:rPr>
        <w:t>ology and assumptions</w:t>
      </w:r>
    </w:p>
    <w:p w:rsidR="006069B5" w:rsidRDefault="004F7A64" w:rsidP="006069B5">
      <w:r w:rsidRPr="005662A8">
        <w:t>DREAM’s SMILE model</w:t>
      </w:r>
      <w:r w:rsidR="002E000E">
        <w:t xml:space="preserve"> is a m</w:t>
      </w:r>
      <w:r w:rsidRPr="005662A8">
        <w:t>icro-simulation model</w:t>
      </w:r>
      <w:r w:rsidR="005662A8" w:rsidRPr="005662A8">
        <w:t xml:space="preserve"> </w:t>
      </w:r>
      <w:r w:rsidR="007F23FD">
        <w:t>of</w:t>
      </w:r>
      <w:r w:rsidR="005662A8" w:rsidRPr="005662A8">
        <w:t xml:space="preserve"> the demographic development in Denmark, including co-habitation </w:t>
      </w:r>
      <w:r w:rsidR="00AA1DF9">
        <w:t xml:space="preserve">patterns </w:t>
      </w:r>
      <w:r w:rsidR="005662A8" w:rsidRPr="005662A8">
        <w:t xml:space="preserve">and </w:t>
      </w:r>
      <w:r w:rsidR="007F23FD">
        <w:t>moving</w:t>
      </w:r>
      <w:r w:rsidR="005662A8" w:rsidRPr="005662A8">
        <w:t xml:space="preserve"> patterns.</w:t>
      </w:r>
      <w:r w:rsidR="00675178" w:rsidRPr="00675178">
        <w:rPr>
          <w:rStyle w:val="Fodnotehenvisning"/>
        </w:rPr>
        <w:t xml:space="preserve"> </w:t>
      </w:r>
      <w:r w:rsidR="00675178">
        <w:rPr>
          <w:rStyle w:val="Fodnotehenvisning"/>
        </w:rPr>
        <w:footnoteReference w:id="1"/>
      </w:r>
      <w:r w:rsidR="005662A8">
        <w:t xml:space="preserve"> The model </w:t>
      </w:r>
      <w:r w:rsidR="007F23FD">
        <w:t>details</w:t>
      </w:r>
      <w:r w:rsidR="005662A8">
        <w:t xml:space="preserve"> </w:t>
      </w:r>
      <w:r w:rsidR="007F23FD">
        <w:t>all</w:t>
      </w:r>
      <w:r w:rsidR="005662A8">
        <w:t xml:space="preserve"> ind</w:t>
      </w:r>
      <w:r w:rsidR="005662A8">
        <w:t>i</w:t>
      </w:r>
      <w:r w:rsidR="005662A8">
        <w:t>vidual</w:t>
      </w:r>
      <w:r w:rsidR="007F23FD">
        <w:t>s</w:t>
      </w:r>
      <w:r w:rsidR="005662A8">
        <w:t xml:space="preserve"> in the Danish population</w:t>
      </w:r>
      <w:r w:rsidR="007F23FD">
        <w:t xml:space="preserve"> and the ensuing household structure</w:t>
      </w:r>
      <w:r w:rsidR="005662A8">
        <w:t xml:space="preserve">. </w:t>
      </w:r>
      <w:r w:rsidR="002E000E">
        <w:t>S</w:t>
      </w:r>
      <w:r w:rsidR="005662A8">
        <w:t>imulation is pe</w:t>
      </w:r>
      <w:r w:rsidR="005662A8">
        <w:t>r</w:t>
      </w:r>
      <w:r w:rsidR="005662A8">
        <w:t>formed year by year in the projection period and include</w:t>
      </w:r>
      <w:r w:rsidR="00DF2D47">
        <w:t>s</w:t>
      </w:r>
      <w:r w:rsidR="005662A8">
        <w:t xml:space="preserve"> </w:t>
      </w:r>
      <w:r w:rsidR="00AA1DF9">
        <w:t>events</w:t>
      </w:r>
      <w:r w:rsidR="005662A8">
        <w:t xml:space="preserve"> such as birth</w:t>
      </w:r>
      <w:r w:rsidR="00AA1DF9">
        <w:t>s</w:t>
      </w:r>
      <w:r w:rsidR="005662A8">
        <w:t>, death</w:t>
      </w:r>
      <w:r w:rsidR="00AA1DF9">
        <w:t>s</w:t>
      </w:r>
      <w:r w:rsidR="005662A8">
        <w:t>,</w:t>
      </w:r>
      <w:r w:rsidR="00DF2D47">
        <w:t xml:space="preserve"> changes in labour market status and educational status,</w:t>
      </w:r>
      <w:r w:rsidR="00AA1DF9">
        <w:t xml:space="preserve"> the formation and break-up of couples</w:t>
      </w:r>
      <w:r w:rsidR="005662A8">
        <w:t>,</w:t>
      </w:r>
      <w:r w:rsidR="007F23FD">
        <w:t xml:space="preserve"> and</w:t>
      </w:r>
      <w:r w:rsidR="005662A8">
        <w:t xml:space="preserve"> </w:t>
      </w:r>
      <w:r w:rsidR="00AA1DF9">
        <w:t xml:space="preserve">moving between </w:t>
      </w:r>
      <w:r w:rsidR="007F23FD">
        <w:t>different</w:t>
      </w:r>
      <w:r w:rsidR="00AA1DF9">
        <w:t xml:space="preserve"> kinds of housing. </w:t>
      </w:r>
      <w:r w:rsidR="00DF2D47">
        <w:t>The probability of a given individual exper</w:t>
      </w:r>
      <w:r w:rsidR="00DF2D47">
        <w:t>i</w:t>
      </w:r>
      <w:r w:rsidR="00DF2D47">
        <w:t>encing one or more events in a given year is based on data for the historic period 2010. These probabilities are held constant throughout the projection period.</w:t>
      </w:r>
    </w:p>
    <w:p w:rsidR="006069B5" w:rsidRDefault="006069B5" w:rsidP="006069B5"/>
    <w:p w:rsidR="00D90817" w:rsidRDefault="00577AC3" w:rsidP="006069B5">
      <w:r>
        <w:t xml:space="preserve">The probability of moving to a given </w:t>
      </w:r>
      <w:r w:rsidR="00D90817">
        <w:t>type of dwelling is divided into two steps</w:t>
      </w:r>
      <w:r w:rsidR="006069B5">
        <w:t>:</w:t>
      </w:r>
      <w:r w:rsidR="00D90817">
        <w:t xml:space="preserve"> </w:t>
      </w:r>
    </w:p>
    <w:p w:rsidR="00577AC3" w:rsidRDefault="00D90817" w:rsidP="006069B5">
      <w:pPr>
        <w:pStyle w:val="Listeafsnit"/>
        <w:numPr>
          <w:ilvl w:val="0"/>
          <w:numId w:val="11"/>
        </w:numPr>
      </w:pPr>
      <w:r>
        <w:t>Probability of moving: estimated on the basis of individual information regarding age, gender, family relations, education, ethnicity, labour market status, and characteristics of the dwelling being vacated</w:t>
      </w:r>
      <w:r w:rsidR="006069B5">
        <w:t>.</w:t>
      </w:r>
    </w:p>
    <w:p w:rsidR="00D90817" w:rsidRDefault="00D90817" w:rsidP="006069B5">
      <w:pPr>
        <w:pStyle w:val="Listeafsnit"/>
        <w:numPr>
          <w:ilvl w:val="0"/>
          <w:numId w:val="11"/>
        </w:numPr>
      </w:pPr>
      <w:r>
        <w:t xml:space="preserve">Probability of </w:t>
      </w:r>
      <w:r w:rsidR="009205EE">
        <w:t>choosing</w:t>
      </w:r>
      <w:r>
        <w:t xml:space="preserve"> a given type of dwelling: estimated on the basis</w:t>
      </w:r>
      <w:r w:rsidR="009A1CC4">
        <w:t xml:space="preserve"> of geographic</w:t>
      </w:r>
      <w:r w:rsidR="006069B5">
        <w:t xml:space="preserve"> r</w:t>
      </w:r>
      <w:r w:rsidR="006069B5">
        <w:t>e</w:t>
      </w:r>
      <w:r w:rsidR="006069B5">
        <w:t xml:space="preserve">gion, type of dwelling (owning/renting/etc.), category of dwelling (detached house/multi-storey/etc.), size of dwelling (m2 intervals), size of town (number of inhabitants), and </w:t>
      </w:r>
      <w:r w:rsidR="006069B5" w:rsidRPr="006069B5">
        <w:rPr>
          <w:highlight w:val="yellow"/>
        </w:rPr>
        <w:t>construction year (?).</w:t>
      </w:r>
      <w:r w:rsidR="00E115F3">
        <w:t xml:space="preserve"> D</w:t>
      </w:r>
      <w:r w:rsidR="006069B5">
        <w:t>etailed dwelling characteristics in SMILE are listed in appe</w:t>
      </w:r>
      <w:r w:rsidR="006069B5">
        <w:t>n</w:t>
      </w:r>
      <w:r w:rsidR="006069B5">
        <w:t>dix A.</w:t>
      </w:r>
    </w:p>
    <w:p w:rsidR="006052B9" w:rsidRDefault="006052B9" w:rsidP="002E000E">
      <w:pPr>
        <w:ind w:left="360"/>
      </w:pPr>
    </w:p>
    <w:p w:rsidR="006052B9" w:rsidRDefault="006052B9" w:rsidP="00DF2D47"/>
    <w:p w:rsidR="006052B9" w:rsidRDefault="006052B9" w:rsidP="00DF2D47"/>
    <w:p w:rsidR="00C1565D" w:rsidRDefault="006052B9" w:rsidP="00DF2D47">
      <w:r>
        <w:t>T</w:t>
      </w:r>
      <w:r w:rsidR="007952F7">
        <w:t xml:space="preserve">he SMILE model </w:t>
      </w:r>
      <w:r w:rsidR="00CC37BC">
        <w:t>provides</w:t>
      </w:r>
      <w:r w:rsidR="007952F7">
        <w:t xml:space="preserve"> a projection of the demand for dwellings</w:t>
      </w:r>
      <w:r>
        <w:t xml:space="preserve"> by forecasting the Da</w:t>
      </w:r>
      <w:r>
        <w:t>n</w:t>
      </w:r>
      <w:r>
        <w:t xml:space="preserve">ish household structure. However, it is important to note that SMILE only tracks the Danish households and not the physical stock of houses </w:t>
      </w:r>
      <w:r w:rsidR="007952F7">
        <w:t>in Denmark.</w:t>
      </w:r>
      <w:r>
        <w:t xml:space="preserve"> </w:t>
      </w:r>
      <w:r w:rsidR="006069B5">
        <w:t xml:space="preserve">SMILE </w:t>
      </w:r>
      <w:r w:rsidR="004C45AF">
        <w:t xml:space="preserve">thus </w:t>
      </w:r>
      <w:r w:rsidR="006069B5">
        <w:t>computes the p</w:t>
      </w:r>
      <w:r w:rsidR="006069B5">
        <w:t>o</w:t>
      </w:r>
      <w:r w:rsidR="006069B5">
        <w:t>tential housing demand b</w:t>
      </w:r>
      <w:r>
        <w:t>y assuming that each household is assigned one dwelling with the demanded characteristics</w:t>
      </w:r>
      <w:r w:rsidR="00C1565D">
        <w:t>,</w:t>
      </w:r>
      <w:r w:rsidR="004C45AF">
        <w:rPr>
          <w:rStyle w:val="Fodnotehenvisning"/>
        </w:rPr>
        <w:footnoteReference w:id="2"/>
      </w:r>
      <w:r w:rsidR="00C1565D">
        <w:t xml:space="preserve"> </w:t>
      </w:r>
      <w:r w:rsidR="004C45AF">
        <w:t>but the supply side of the housing market is not modelled</w:t>
      </w:r>
      <w:r w:rsidR="009205EE">
        <w:t xml:space="preserve"> explici</w:t>
      </w:r>
      <w:r w:rsidR="009205EE">
        <w:t>t</w:t>
      </w:r>
      <w:r w:rsidR="009205EE">
        <w:t>ly</w:t>
      </w:r>
      <w:r w:rsidR="004C45AF">
        <w:t xml:space="preserve"> in SMILE. The justification for using the SMILE projection of housing demand as a proxy for the future dwelling structure is the notion that the supply of housing will adjust to demand in the longer run through construction of new dwellings or demolition of existing dwellings.</w:t>
      </w:r>
    </w:p>
    <w:p w:rsidR="00C1565D" w:rsidRDefault="00C1565D" w:rsidP="00DF2D47"/>
    <w:p w:rsidR="00631F76" w:rsidRDefault="00631F76" w:rsidP="007809FD">
      <w:pPr>
        <w:tabs>
          <w:tab w:val="left" w:pos="3885"/>
        </w:tabs>
        <w:rPr>
          <w:i/>
        </w:rPr>
      </w:pPr>
      <w:r>
        <w:rPr>
          <w:i/>
        </w:rPr>
        <w:t>Data t</w:t>
      </w:r>
      <w:r w:rsidR="00DE61EF" w:rsidRPr="00DE61EF">
        <w:rPr>
          <w:i/>
        </w:rPr>
        <w:t>echnicalities</w:t>
      </w:r>
      <w:r>
        <w:rPr>
          <w:i/>
        </w:rPr>
        <w:t>:</w:t>
      </w:r>
    </w:p>
    <w:p w:rsidR="00631F76" w:rsidRDefault="00631F76" w:rsidP="00631F76">
      <w:pPr>
        <w:pStyle w:val="Listeafsnit"/>
        <w:numPr>
          <w:ilvl w:val="0"/>
          <w:numId w:val="3"/>
        </w:numPr>
        <w:tabs>
          <w:tab w:val="left" w:pos="3885"/>
        </w:tabs>
        <w:rPr>
          <w:lang w:val="en-US"/>
        </w:rPr>
      </w:pPr>
      <w:r>
        <w:rPr>
          <w:lang w:val="en-US"/>
        </w:rPr>
        <w:t>Ex ante data cleaning: The historic data contains a number of dwellings with one or more unknown characteristics. There are also a small group of households, whose address ca</w:t>
      </w:r>
      <w:r>
        <w:rPr>
          <w:lang w:val="en-US"/>
        </w:rPr>
        <w:t>n</w:t>
      </w:r>
      <w:r>
        <w:rPr>
          <w:lang w:val="en-US"/>
        </w:rPr>
        <w:t xml:space="preserve">not be identified (due to data errors or homelessness). The </w:t>
      </w:r>
      <w:proofErr w:type="spellStart"/>
      <w:r>
        <w:rPr>
          <w:lang w:val="en-US"/>
        </w:rPr>
        <w:t>ex ante</w:t>
      </w:r>
      <w:proofErr w:type="spellEnd"/>
      <w:r>
        <w:rPr>
          <w:lang w:val="en-US"/>
        </w:rPr>
        <w:t xml:space="preserve"> data cleaning entails replacing unknown dwelling characteristics with probable, known characteristics as well as assigning a dwelling to households with non-identifiable address. Base year data for the SMILE model will consequently deviate slightly from the historic, statistical data.</w:t>
      </w:r>
    </w:p>
    <w:p w:rsidR="00631F76" w:rsidRPr="00E413D9" w:rsidRDefault="00631F76" w:rsidP="00631F76">
      <w:pPr>
        <w:pStyle w:val="Listeafsnit"/>
        <w:numPr>
          <w:ilvl w:val="0"/>
          <w:numId w:val="3"/>
        </w:numPr>
        <w:tabs>
          <w:tab w:val="left" w:pos="3885"/>
        </w:tabs>
        <w:rPr>
          <w:lang w:val="en-US"/>
        </w:rPr>
      </w:pPr>
      <w:r>
        <w:rPr>
          <w:lang w:val="en-US"/>
        </w:rPr>
        <w:t>Ex post randomization: Due to anonymity policies of Statistics Denmark, it is not allowed to transfer data sets from their servers containing data points with only 1 or 2 observ</w:t>
      </w:r>
      <w:r>
        <w:rPr>
          <w:lang w:val="en-US"/>
        </w:rPr>
        <w:t>a</w:t>
      </w:r>
      <w:r>
        <w:rPr>
          <w:lang w:val="en-US"/>
        </w:rPr>
        <w:t>tions. As the SMILE model allows for a high level of disaggregation, there are a signif</w:t>
      </w:r>
      <w:r>
        <w:rPr>
          <w:lang w:val="en-US"/>
        </w:rPr>
        <w:t>i</w:t>
      </w:r>
      <w:r>
        <w:rPr>
          <w:lang w:val="en-US"/>
        </w:rPr>
        <w:t>cant amount of data points with only 1 or 2 observations in the projection result files. In order to extract the results from the SMILE projection, these data points have consequen</w:t>
      </w:r>
      <w:r>
        <w:rPr>
          <w:lang w:val="en-US"/>
        </w:rPr>
        <w:t>t</w:t>
      </w:r>
      <w:r>
        <w:rPr>
          <w:lang w:val="en-US"/>
        </w:rPr>
        <w:t>ly been modified – through a randomized process “1” has been changed to “0” (with the probability 2/3) or “3” (with the probability 1/3) and vice versa for “2”. In order to co</w:t>
      </w:r>
      <w:r>
        <w:rPr>
          <w:lang w:val="en-US"/>
        </w:rPr>
        <w:t>m</w:t>
      </w:r>
      <w:r>
        <w:rPr>
          <w:lang w:val="en-US"/>
        </w:rPr>
        <w:t xml:space="preserve">pensate for the potential inaccuracy in this procedure, five different randomization runs have been performed and we use the average of these five runs. </w:t>
      </w:r>
    </w:p>
    <w:p w:rsidR="00631F76" w:rsidRDefault="00631F76" w:rsidP="007809FD">
      <w:pPr>
        <w:tabs>
          <w:tab w:val="left" w:pos="3885"/>
        </w:tabs>
        <w:rPr>
          <w:i/>
        </w:rPr>
      </w:pPr>
    </w:p>
    <w:p w:rsidR="00527312" w:rsidRPr="00DE61EF" w:rsidRDefault="00631F76" w:rsidP="007809FD">
      <w:pPr>
        <w:tabs>
          <w:tab w:val="left" w:pos="3885"/>
        </w:tabs>
        <w:rPr>
          <w:i/>
        </w:rPr>
      </w:pPr>
      <w:r>
        <w:rPr>
          <w:i/>
        </w:rPr>
        <w:t>C</w:t>
      </w:r>
      <w:r w:rsidR="00DE61EF" w:rsidRPr="00DE61EF">
        <w:rPr>
          <w:i/>
        </w:rPr>
        <w:t>aveats</w:t>
      </w:r>
      <w:r w:rsidR="00527312" w:rsidRPr="00DE61EF">
        <w:rPr>
          <w:i/>
        </w:rPr>
        <w:t>:</w:t>
      </w:r>
    </w:p>
    <w:p w:rsidR="00E115F3" w:rsidRPr="00E115F3" w:rsidRDefault="00E115F3" w:rsidP="00BB1180">
      <w:pPr>
        <w:pStyle w:val="Listeafsnit"/>
        <w:numPr>
          <w:ilvl w:val="0"/>
          <w:numId w:val="6"/>
        </w:numPr>
        <w:rPr>
          <w:lang w:val="en-US"/>
        </w:rPr>
      </w:pPr>
      <w:r>
        <w:rPr>
          <w:lang w:val="en-US"/>
        </w:rPr>
        <w:t xml:space="preserve">Heating source: As SMILE does not model the housing stock, the </w:t>
      </w:r>
      <w:r w:rsidR="00002AB1">
        <w:rPr>
          <w:lang w:val="en-US"/>
        </w:rPr>
        <w:t>parameter</w:t>
      </w:r>
      <w:r>
        <w:rPr>
          <w:lang w:val="en-US"/>
        </w:rPr>
        <w:t xml:space="preserve"> heating source is not part of the model, and data is only available for the historic base year 2010.</w:t>
      </w:r>
    </w:p>
    <w:p w:rsidR="00B04696" w:rsidRPr="00B04696" w:rsidRDefault="00DE61EF" w:rsidP="00BB1180">
      <w:pPr>
        <w:pStyle w:val="Listeafsnit"/>
        <w:numPr>
          <w:ilvl w:val="0"/>
          <w:numId w:val="6"/>
        </w:numPr>
        <w:rPr>
          <w:lang w:val="en-US"/>
        </w:rPr>
      </w:pPr>
      <w:r>
        <w:t xml:space="preserve">Construction year: As SMILE does not model the housing stock, </w:t>
      </w:r>
      <w:r w:rsidR="009205EE">
        <w:t xml:space="preserve">gross </w:t>
      </w:r>
      <w:r>
        <w:t xml:space="preserve">demolition and construction rates are not part of the model. The </w:t>
      </w:r>
      <w:r w:rsidR="00002AB1">
        <w:t>parameter</w:t>
      </w:r>
      <w:r>
        <w:t xml:space="preserve"> construction year is thus only </w:t>
      </w:r>
      <w:r w:rsidR="00B04696">
        <w:t>meaningful</w:t>
      </w:r>
      <w:r>
        <w:t xml:space="preserve"> for the historic base year 2010.</w:t>
      </w:r>
    </w:p>
    <w:p w:rsidR="00527312" w:rsidRPr="00BB1180" w:rsidRDefault="00B04696" w:rsidP="00BB1180">
      <w:pPr>
        <w:pStyle w:val="Listeafsnit"/>
        <w:numPr>
          <w:ilvl w:val="0"/>
          <w:numId w:val="6"/>
        </w:numPr>
        <w:rPr>
          <w:lang w:val="en-US"/>
        </w:rPr>
      </w:pPr>
      <w:r>
        <w:t xml:space="preserve">Dwelling size: As </w:t>
      </w:r>
      <w:r w:rsidR="009205EE">
        <w:t xml:space="preserve">gross </w:t>
      </w:r>
      <w:r>
        <w:t>demolition and construction rates are not included in SMILE,</w:t>
      </w:r>
      <w:r w:rsidR="009205EE">
        <w:t xml:space="preserve"> and housing preferences are based on historic data,</w:t>
      </w:r>
      <w:r>
        <w:t xml:space="preserve"> the projected dwelling area does not</w:t>
      </w:r>
      <w:r w:rsidR="00DE61EF">
        <w:t xml:space="preserve"> </w:t>
      </w:r>
      <w:r>
        <w:t>a</w:t>
      </w:r>
      <w:r>
        <w:t>c</w:t>
      </w:r>
      <w:r>
        <w:t>count for the tendency of newly constructed dwellings to be larger than the old dwellings they may be replacing. The projection may therefore tend to underestimate the future dwelling area. On the other hand, new buildings are generally more energy efficient than older buildings, so the consequences for the projected heating demand are unclear.</w:t>
      </w:r>
    </w:p>
    <w:p w:rsidR="00527312" w:rsidRDefault="00B04696" w:rsidP="007809FD">
      <w:pPr>
        <w:pStyle w:val="Listeafsnit"/>
        <w:numPr>
          <w:ilvl w:val="0"/>
          <w:numId w:val="3"/>
        </w:numPr>
        <w:tabs>
          <w:tab w:val="left" w:pos="3885"/>
        </w:tabs>
        <w:rPr>
          <w:lang w:val="en-US"/>
        </w:rPr>
      </w:pPr>
      <w:r w:rsidRPr="00E413D9">
        <w:rPr>
          <w:lang w:val="en-US"/>
        </w:rPr>
        <w:t xml:space="preserve">Areas not accounted for: As SMILE focuses on households rather than physical houses, several types of dwelling areas are not included </w:t>
      </w:r>
      <w:r w:rsidR="00E413D9" w:rsidRPr="00E413D9">
        <w:rPr>
          <w:lang w:val="en-US"/>
        </w:rPr>
        <w:t>in the projections. The unaccounted areas, which may still be energy consumi</w:t>
      </w:r>
      <w:bookmarkStart w:id="6" w:name="_GoBack"/>
      <w:bookmarkEnd w:id="6"/>
      <w:r w:rsidR="00E413D9" w:rsidRPr="00E413D9">
        <w:rPr>
          <w:lang w:val="en-US"/>
        </w:rPr>
        <w:t>ng, include empty houses, summerhouses which are not used for full-time residency, and common spaces in multi-</w:t>
      </w:r>
      <w:proofErr w:type="spellStart"/>
      <w:r w:rsidR="00E413D9" w:rsidRPr="00E413D9">
        <w:rPr>
          <w:lang w:val="en-US"/>
        </w:rPr>
        <w:t>storey</w:t>
      </w:r>
      <w:proofErr w:type="spellEnd"/>
      <w:r w:rsidR="00E413D9" w:rsidRPr="00E413D9">
        <w:rPr>
          <w:lang w:val="en-US"/>
        </w:rPr>
        <w:t xml:space="preserve"> buildings (??).</w:t>
      </w:r>
    </w:p>
    <w:p w:rsidR="00631F76" w:rsidRDefault="00BB1180" w:rsidP="00631F76">
      <w:pPr>
        <w:pStyle w:val="Listeafsnit"/>
        <w:numPr>
          <w:ilvl w:val="0"/>
          <w:numId w:val="7"/>
        </w:numPr>
        <w:rPr>
          <w:lang w:val="en-US"/>
        </w:rPr>
      </w:pPr>
      <w:r w:rsidRPr="00BB1180">
        <w:rPr>
          <w:lang w:val="en-US"/>
        </w:rPr>
        <w:t>General data issues</w:t>
      </w:r>
      <w:r w:rsidR="00B72AD7">
        <w:rPr>
          <w:lang w:val="en-US"/>
        </w:rPr>
        <w:t>: SMILE is based on</w:t>
      </w:r>
      <w:r w:rsidR="00631F76">
        <w:rPr>
          <w:lang w:val="en-US"/>
        </w:rPr>
        <w:t xml:space="preserve"> data stocks taken in the beginning of a given year. Quality of certain data may vary (e.g. quality of BBR data on heating...)</w:t>
      </w:r>
    </w:p>
    <w:p w:rsidR="00DC65A6" w:rsidRPr="00DE504F" w:rsidRDefault="00BB1180" w:rsidP="007809FD">
      <w:pPr>
        <w:tabs>
          <w:tab w:val="left" w:pos="3885"/>
        </w:tabs>
        <w:rPr>
          <w:i/>
          <w:lang w:val="da-DK"/>
        </w:rPr>
      </w:pPr>
      <w:proofErr w:type="spellStart"/>
      <w:r w:rsidRPr="00DE504F">
        <w:rPr>
          <w:i/>
          <w:lang w:val="da-DK"/>
        </w:rPr>
        <w:lastRenderedPageBreak/>
        <w:t>Appendix</w:t>
      </w:r>
      <w:proofErr w:type="spellEnd"/>
      <w:r w:rsidR="00062BD4" w:rsidRPr="00DE504F">
        <w:rPr>
          <w:i/>
          <w:lang w:val="da-DK"/>
        </w:rPr>
        <w:t xml:space="preserve">: </w:t>
      </w:r>
      <w:r w:rsidR="006D66BC" w:rsidRPr="00DE504F">
        <w:rPr>
          <w:i/>
          <w:lang w:val="da-DK"/>
        </w:rPr>
        <w:t>Parameters</w:t>
      </w:r>
      <w:r w:rsidR="00062BD4" w:rsidRPr="00DE504F">
        <w:rPr>
          <w:i/>
          <w:lang w:val="da-DK"/>
        </w:rPr>
        <w:t xml:space="preserve"> and </w:t>
      </w:r>
      <w:proofErr w:type="spellStart"/>
      <w:r w:rsidR="00062BD4" w:rsidRPr="00DE504F">
        <w:rPr>
          <w:i/>
          <w:lang w:val="da-DK"/>
        </w:rPr>
        <w:t>aggregation</w:t>
      </w:r>
      <w:proofErr w:type="spellEnd"/>
    </w:p>
    <w:p w:rsidR="00062BD4" w:rsidRPr="00F01799" w:rsidRDefault="00062BD4" w:rsidP="007809FD">
      <w:pPr>
        <w:tabs>
          <w:tab w:val="left" w:pos="3885"/>
        </w:tabs>
        <w:rPr>
          <w:lang w:val="da-DK"/>
        </w:rPr>
      </w:pPr>
    </w:p>
    <w:tbl>
      <w:tblPr>
        <w:tblW w:w="8025" w:type="dxa"/>
        <w:tblInd w:w="55" w:type="dxa"/>
        <w:tblCellMar>
          <w:left w:w="70" w:type="dxa"/>
          <w:right w:w="70" w:type="dxa"/>
        </w:tblCellMar>
        <w:tblLook w:val="04A0" w:firstRow="1" w:lastRow="0" w:firstColumn="1" w:lastColumn="0" w:noHBand="0" w:noVBand="1"/>
      </w:tblPr>
      <w:tblGrid>
        <w:gridCol w:w="1931"/>
        <w:gridCol w:w="3110"/>
        <w:gridCol w:w="2984"/>
      </w:tblGrid>
      <w:tr w:rsidR="00F10AB3" w:rsidRPr="00F10AB3" w:rsidTr="006D66BC">
        <w:trPr>
          <w:trHeight w:val="255"/>
        </w:trPr>
        <w:tc>
          <w:tcPr>
            <w:tcW w:w="1931" w:type="dxa"/>
            <w:tcBorders>
              <w:top w:val="single" w:sz="4" w:space="0" w:color="auto"/>
              <w:left w:val="single" w:sz="4" w:space="0" w:color="auto"/>
              <w:bottom w:val="single" w:sz="4" w:space="0" w:color="auto"/>
              <w:right w:val="nil"/>
            </w:tcBorders>
            <w:shd w:val="clear" w:color="auto" w:fill="A6A6A6" w:themeFill="background1" w:themeFillShade="A6"/>
            <w:noWrap/>
            <w:vAlign w:val="bottom"/>
            <w:hideMark/>
          </w:tcPr>
          <w:p w:rsidR="00F10AB3" w:rsidRPr="00F10AB3" w:rsidRDefault="00F10AB3" w:rsidP="00F10AB3">
            <w:pPr>
              <w:spacing w:line="240" w:lineRule="auto"/>
              <w:rPr>
                <w:rFonts w:ascii="Calibri" w:hAnsi="Calibri"/>
                <w:b/>
                <w:color w:val="000000"/>
                <w:sz w:val="20"/>
                <w:szCs w:val="20"/>
                <w:lang w:val="da-DK"/>
              </w:rPr>
            </w:pPr>
            <w:r w:rsidRPr="00F10AB3">
              <w:rPr>
                <w:rFonts w:ascii="Calibri" w:hAnsi="Calibri"/>
                <w:b/>
                <w:color w:val="000000"/>
                <w:sz w:val="20"/>
                <w:szCs w:val="20"/>
                <w:lang w:val="da-DK"/>
              </w:rPr>
              <w:t>Parameter</w:t>
            </w:r>
          </w:p>
        </w:tc>
        <w:tc>
          <w:tcPr>
            <w:tcW w:w="3110" w:type="dxa"/>
            <w:tcBorders>
              <w:top w:val="single" w:sz="4" w:space="0" w:color="auto"/>
              <w:left w:val="single" w:sz="4" w:space="0" w:color="auto"/>
              <w:bottom w:val="single" w:sz="4" w:space="0" w:color="auto"/>
              <w:right w:val="nil"/>
            </w:tcBorders>
            <w:shd w:val="clear" w:color="auto" w:fill="A6A6A6" w:themeFill="background1" w:themeFillShade="A6"/>
            <w:noWrap/>
            <w:vAlign w:val="bottom"/>
            <w:hideMark/>
          </w:tcPr>
          <w:p w:rsidR="00F10AB3" w:rsidRPr="00F10AB3" w:rsidRDefault="00F10AB3" w:rsidP="00F10AB3">
            <w:pPr>
              <w:spacing w:line="240" w:lineRule="auto"/>
              <w:rPr>
                <w:rFonts w:ascii="Calibri" w:hAnsi="Calibri"/>
                <w:b/>
                <w:color w:val="000000"/>
                <w:sz w:val="20"/>
                <w:szCs w:val="20"/>
                <w:lang w:val="da-DK"/>
              </w:rPr>
            </w:pPr>
            <w:r w:rsidRPr="00F10AB3">
              <w:rPr>
                <w:rFonts w:ascii="Calibri" w:hAnsi="Calibri"/>
                <w:b/>
                <w:color w:val="000000"/>
                <w:sz w:val="20"/>
                <w:szCs w:val="20"/>
                <w:lang w:val="da-DK"/>
              </w:rPr>
              <w:t xml:space="preserve">SMILE / </w:t>
            </w:r>
            <w:proofErr w:type="spellStart"/>
            <w:r w:rsidRPr="00F10AB3">
              <w:rPr>
                <w:rFonts w:ascii="Calibri" w:hAnsi="Calibri"/>
                <w:b/>
                <w:color w:val="000000"/>
                <w:sz w:val="20"/>
                <w:szCs w:val="20"/>
                <w:lang w:val="da-DK"/>
              </w:rPr>
              <w:t>Dst</w:t>
            </w:r>
            <w:proofErr w:type="spellEnd"/>
          </w:p>
        </w:tc>
        <w:tc>
          <w:tcPr>
            <w:tcW w:w="2984"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rsidR="00F10AB3" w:rsidRPr="00F10AB3" w:rsidRDefault="00F10AB3" w:rsidP="00F10AB3">
            <w:pPr>
              <w:spacing w:line="240" w:lineRule="auto"/>
              <w:rPr>
                <w:rFonts w:ascii="Calibri" w:hAnsi="Calibri"/>
                <w:b/>
                <w:color w:val="000000"/>
                <w:sz w:val="20"/>
                <w:szCs w:val="20"/>
                <w:lang w:val="da-DK"/>
              </w:rPr>
            </w:pPr>
            <w:proofErr w:type="spellStart"/>
            <w:r w:rsidRPr="00F10AB3">
              <w:rPr>
                <w:rFonts w:ascii="Calibri" w:hAnsi="Calibri"/>
                <w:b/>
                <w:color w:val="000000"/>
                <w:sz w:val="20"/>
                <w:szCs w:val="20"/>
                <w:lang w:val="da-DK"/>
              </w:rPr>
              <w:t>Aggregation</w:t>
            </w:r>
            <w:proofErr w:type="spellEnd"/>
            <w:r w:rsidRPr="00F10AB3">
              <w:rPr>
                <w:rFonts w:ascii="Calibri" w:hAnsi="Calibri"/>
                <w:b/>
                <w:color w:val="000000"/>
                <w:sz w:val="20"/>
                <w:szCs w:val="20"/>
                <w:lang w:val="da-DK"/>
              </w:rPr>
              <w:t xml:space="preserve"> </w:t>
            </w:r>
            <w:proofErr w:type="spellStart"/>
            <w:r w:rsidRPr="00F10AB3">
              <w:rPr>
                <w:rFonts w:ascii="Calibri" w:hAnsi="Calibri"/>
                <w:b/>
                <w:color w:val="000000"/>
                <w:sz w:val="20"/>
                <w:szCs w:val="20"/>
                <w:lang w:val="da-DK"/>
              </w:rPr>
              <w:t>produced</w:t>
            </w:r>
            <w:proofErr w:type="spellEnd"/>
            <w:r w:rsidRPr="00F10AB3">
              <w:rPr>
                <w:rFonts w:ascii="Calibri" w:hAnsi="Calibri"/>
                <w:b/>
                <w:color w:val="000000"/>
                <w:sz w:val="20"/>
                <w:szCs w:val="20"/>
                <w:lang w:val="da-DK"/>
              </w:rPr>
              <w:t xml:space="preserve"> for TIMES </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Geographical</w:t>
            </w:r>
            <w:proofErr w:type="spellEnd"/>
            <w:r w:rsidRPr="00F10AB3">
              <w:rPr>
                <w:rFonts w:ascii="Calibri" w:hAnsi="Calibri"/>
                <w:color w:val="000000"/>
                <w:sz w:val="20"/>
                <w:szCs w:val="20"/>
                <w:lang w:val="da-DK"/>
              </w:rPr>
              <w:t xml:space="preserve"> region</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en-US"/>
              </w:rPr>
              <w:t>Byen</w:t>
            </w:r>
            <w:proofErr w:type="spellEnd"/>
            <w:r w:rsidRPr="00F10AB3">
              <w:rPr>
                <w:rFonts w:ascii="Calibri" w:hAnsi="Calibri"/>
                <w:color w:val="000000"/>
                <w:sz w:val="20"/>
                <w:szCs w:val="20"/>
                <w:lang w:val="en-US"/>
              </w:rPr>
              <w:t xml:space="preserve"> </w:t>
            </w:r>
            <w:proofErr w:type="spellStart"/>
            <w:r w:rsidRPr="00F10AB3">
              <w:rPr>
                <w:rFonts w:ascii="Calibri" w:hAnsi="Calibri"/>
                <w:color w:val="000000"/>
                <w:sz w:val="20"/>
                <w:szCs w:val="20"/>
                <w:lang w:val="en-US"/>
              </w:rPr>
              <w:t>København</w:t>
            </w:r>
            <w:proofErr w:type="spellEnd"/>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Byen København</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Københavns Omegn</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Københavns Omegn</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Nordsjælland</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Nordsjælland</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Bornholm</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Bornholm</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Østsjælland</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Østsjælland</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Syd- og Vestsjælland</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Syd- og Vestsjælland</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Fyn</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Fyn</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Sydjylland</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Sydjylland</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Østjylland</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Østjylland</w:t>
            </w:r>
          </w:p>
        </w:tc>
      </w:tr>
      <w:tr w:rsidR="00F10AB3"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Vestjylland</w:t>
            </w:r>
          </w:p>
        </w:tc>
        <w:tc>
          <w:tcPr>
            <w:tcW w:w="2984" w:type="dxa"/>
            <w:tcBorders>
              <w:top w:val="nil"/>
              <w:left w:val="nil"/>
              <w:bottom w:val="single" w:sz="4" w:space="0" w:color="auto"/>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Vestjylland</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Dwelling</w:t>
            </w:r>
            <w:proofErr w:type="spellEnd"/>
            <w:r w:rsidRPr="00F10AB3">
              <w:rPr>
                <w:rFonts w:ascii="Calibri" w:hAnsi="Calibri"/>
                <w:color w:val="000000"/>
                <w:sz w:val="20"/>
                <w:szCs w:val="20"/>
                <w:lang w:val="da-DK"/>
              </w:rPr>
              <w:t xml:space="preserve"> type</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Ejerbolig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Ejer</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Almen bolig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Lejer</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Andelsbolig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Ejer</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Udlejning offentlig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Lejer</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Udlejning privat</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Lejer</w:t>
            </w:r>
          </w:p>
        </w:tc>
      </w:tr>
      <w:tr w:rsidR="00F10AB3"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Uoplyst</w:t>
            </w:r>
          </w:p>
        </w:tc>
        <w:tc>
          <w:tcPr>
            <w:tcW w:w="2984" w:type="dxa"/>
            <w:tcBorders>
              <w:top w:val="nil"/>
              <w:left w:val="nil"/>
              <w:bottom w:val="single" w:sz="4" w:space="0" w:color="auto"/>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Lejer</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Dwelling</w:t>
            </w:r>
            <w:proofErr w:type="spellEnd"/>
            <w:r w:rsidRPr="00F10AB3">
              <w:rPr>
                <w:rFonts w:ascii="Calibri" w:hAnsi="Calibri"/>
                <w:color w:val="000000"/>
                <w:sz w:val="20"/>
                <w:szCs w:val="20"/>
                <w:lang w:val="da-DK"/>
              </w:rPr>
              <w:t xml:space="preserve"> </w:t>
            </w:r>
            <w:proofErr w:type="spellStart"/>
            <w:r w:rsidRPr="00F10AB3">
              <w:rPr>
                <w:rFonts w:ascii="Calibri" w:hAnsi="Calibri"/>
                <w:color w:val="000000"/>
                <w:sz w:val="20"/>
                <w:szCs w:val="20"/>
                <w:lang w:val="da-DK"/>
              </w:rPr>
              <w:t>category</w:t>
            </w:r>
            <w:proofErr w:type="spellEnd"/>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Stuehus</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Række-, kæde- og dobbelthuse</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Rækkehuse</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Etagebolig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Etagebolig</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Kollegium</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Etagebolig</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Anden helårsbeboelse</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Erhvervsbolig</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Døgninstitution</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xml:space="preserve">Fritidshus </w:t>
            </w:r>
          </w:p>
        </w:tc>
        <w:tc>
          <w:tcPr>
            <w:tcW w:w="2984" w:type="dxa"/>
            <w:tcBorders>
              <w:top w:val="nil"/>
              <w:left w:val="nil"/>
              <w:bottom w:val="nil"/>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Uoplyst</w:t>
            </w:r>
          </w:p>
        </w:tc>
        <w:tc>
          <w:tcPr>
            <w:tcW w:w="2984" w:type="dxa"/>
            <w:tcBorders>
              <w:top w:val="nil"/>
              <w:left w:val="nil"/>
              <w:bottom w:val="single" w:sz="4" w:space="0" w:color="auto"/>
              <w:right w:val="single" w:sz="4" w:space="0" w:color="auto"/>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Parcelhus mv.</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Dwelling</w:t>
            </w:r>
            <w:proofErr w:type="spellEnd"/>
            <w:r w:rsidRPr="00F10AB3">
              <w:rPr>
                <w:rFonts w:ascii="Calibri" w:hAnsi="Calibri"/>
                <w:color w:val="000000"/>
                <w:sz w:val="20"/>
                <w:szCs w:val="20"/>
                <w:lang w:val="da-DK"/>
              </w:rPr>
              <w:t xml:space="preserve"> </w:t>
            </w:r>
            <w:proofErr w:type="spellStart"/>
            <w:r w:rsidRPr="00F10AB3">
              <w:rPr>
                <w:rFonts w:ascii="Calibri" w:hAnsi="Calibri"/>
                <w:color w:val="000000"/>
                <w:sz w:val="20"/>
                <w:szCs w:val="20"/>
                <w:lang w:val="da-DK"/>
              </w:rPr>
              <w:t>size</w:t>
            </w:r>
            <w:proofErr w:type="spellEnd"/>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0-39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40-59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60-79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80-99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100-119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119-159 m2</w:t>
            </w:r>
          </w:p>
        </w:tc>
      </w:tr>
      <w:tr w:rsidR="00F10AB3"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160-199 m2</w:t>
            </w:r>
          </w:p>
        </w:tc>
      </w:tr>
      <w:tr w:rsidR="00F10AB3"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single" w:sz="4" w:space="0" w:color="auto"/>
              <w:right w:val="single" w:sz="4" w:space="0" w:color="auto"/>
            </w:tcBorders>
            <w:shd w:val="clear" w:color="auto" w:fill="auto"/>
            <w:noWrap/>
            <w:vAlign w:val="center"/>
            <w:hideMark/>
          </w:tcPr>
          <w:p w:rsidR="00F10AB3" w:rsidRPr="00F10AB3" w:rsidRDefault="00F10AB3"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200- m2</w:t>
            </w:r>
          </w:p>
        </w:tc>
      </w:tr>
      <w:tr w:rsidR="006D66BC" w:rsidRPr="00F10AB3" w:rsidTr="00C6665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xml:space="preserve">Town </w:t>
            </w:r>
            <w:proofErr w:type="spellStart"/>
            <w:r w:rsidRPr="00F10AB3">
              <w:rPr>
                <w:rFonts w:ascii="Calibri" w:hAnsi="Calibri"/>
                <w:color w:val="000000"/>
                <w:sz w:val="20"/>
                <w:szCs w:val="20"/>
                <w:lang w:val="da-DK"/>
              </w:rPr>
              <w:t>size</w:t>
            </w:r>
            <w:proofErr w:type="spellEnd"/>
          </w:p>
        </w:tc>
        <w:tc>
          <w:tcPr>
            <w:tcW w:w="3110" w:type="dxa"/>
            <w:tcBorders>
              <w:top w:val="nil"/>
              <w:left w:val="single" w:sz="4" w:space="0" w:color="auto"/>
              <w:bottom w:val="nil"/>
              <w:right w:val="nil"/>
            </w:tcBorders>
            <w:shd w:val="clear" w:color="auto" w:fill="auto"/>
            <w:noWrap/>
            <w:vAlign w:val="center"/>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Hovedstadsområdet</w:t>
            </w:r>
          </w:p>
        </w:tc>
        <w:tc>
          <w:tcPr>
            <w:tcW w:w="2984" w:type="dxa"/>
            <w:tcBorders>
              <w:top w:val="nil"/>
              <w:left w:val="nil"/>
              <w:bottom w:val="nil"/>
              <w:right w:val="single" w:sz="4" w:space="0" w:color="auto"/>
            </w:tcBorders>
            <w:shd w:val="clear" w:color="auto" w:fill="auto"/>
            <w:noWrap/>
            <w:vAlign w:val="center"/>
            <w:hideMark/>
          </w:tcPr>
          <w:p w:rsidR="006D66BC" w:rsidRPr="00F10AB3" w:rsidRDefault="006D66BC" w:rsidP="00E91916">
            <w:pPr>
              <w:spacing w:line="240" w:lineRule="auto"/>
              <w:rPr>
                <w:rFonts w:ascii="Calibri" w:hAnsi="Calibri"/>
                <w:color w:val="000000"/>
                <w:sz w:val="20"/>
                <w:szCs w:val="20"/>
                <w:lang w:val="da-DK"/>
              </w:rPr>
            </w:pPr>
            <w:r w:rsidRPr="00F10AB3">
              <w:rPr>
                <w:rFonts w:ascii="Calibri" w:hAnsi="Calibri"/>
                <w:color w:val="000000"/>
                <w:sz w:val="20"/>
                <w:szCs w:val="20"/>
                <w:lang w:val="da-DK"/>
              </w:rPr>
              <w:t>Hovedstadsområdet</w:t>
            </w:r>
          </w:p>
        </w:tc>
      </w:tr>
      <w:tr w:rsidR="006D66BC" w:rsidRPr="00F10AB3" w:rsidTr="00C6665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By med min. 50.000 indbyg.</w:t>
            </w:r>
          </w:p>
        </w:tc>
        <w:tc>
          <w:tcPr>
            <w:tcW w:w="2984" w:type="dxa"/>
            <w:tcBorders>
              <w:top w:val="nil"/>
              <w:left w:val="nil"/>
              <w:bottom w:val="nil"/>
              <w:right w:val="single" w:sz="4" w:space="0" w:color="auto"/>
            </w:tcBorders>
            <w:shd w:val="clear" w:color="auto" w:fill="auto"/>
            <w:noWrap/>
            <w:vAlign w:val="center"/>
            <w:hideMark/>
          </w:tcPr>
          <w:p w:rsidR="006D66BC" w:rsidRPr="00F10AB3" w:rsidRDefault="006D66BC" w:rsidP="00E91916">
            <w:pPr>
              <w:spacing w:line="240" w:lineRule="auto"/>
              <w:rPr>
                <w:rFonts w:ascii="Calibri" w:hAnsi="Calibri"/>
                <w:color w:val="000000"/>
                <w:sz w:val="20"/>
                <w:szCs w:val="20"/>
                <w:lang w:val="da-DK"/>
              </w:rPr>
            </w:pPr>
            <w:r w:rsidRPr="00F10AB3">
              <w:rPr>
                <w:rFonts w:ascii="Calibri" w:hAnsi="Calibri"/>
                <w:color w:val="000000"/>
                <w:sz w:val="20"/>
                <w:szCs w:val="20"/>
                <w:lang w:val="da-DK"/>
              </w:rPr>
              <w:t>By med min. 50.000 indbyg.</w:t>
            </w:r>
          </w:p>
        </w:tc>
      </w:tr>
      <w:tr w:rsidR="006D66BC" w:rsidRPr="00F10AB3" w:rsidTr="00C6665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By med 10.000-49.999 indbyg.</w:t>
            </w:r>
          </w:p>
        </w:tc>
        <w:tc>
          <w:tcPr>
            <w:tcW w:w="2984" w:type="dxa"/>
            <w:tcBorders>
              <w:top w:val="nil"/>
              <w:left w:val="nil"/>
              <w:bottom w:val="nil"/>
              <w:right w:val="single" w:sz="4" w:space="0" w:color="auto"/>
            </w:tcBorders>
            <w:shd w:val="clear" w:color="auto" w:fill="auto"/>
            <w:noWrap/>
            <w:vAlign w:val="center"/>
            <w:hideMark/>
          </w:tcPr>
          <w:p w:rsidR="006D66BC" w:rsidRPr="00F10AB3" w:rsidRDefault="006D66BC" w:rsidP="00E91916">
            <w:pPr>
              <w:spacing w:line="240" w:lineRule="auto"/>
              <w:rPr>
                <w:rFonts w:ascii="Calibri" w:hAnsi="Calibri"/>
                <w:color w:val="000000"/>
                <w:sz w:val="20"/>
                <w:szCs w:val="20"/>
                <w:lang w:val="da-DK"/>
              </w:rPr>
            </w:pPr>
            <w:r w:rsidRPr="00F10AB3">
              <w:rPr>
                <w:rFonts w:ascii="Calibri" w:hAnsi="Calibri"/>
                <w:color w:val="000000"/>
                <w:sz w:val="20"/>
                <w:szCs w:val="20"/>
                <w:lang w:val="da-DK"/>
              </w:rPr>
              <w:t>By med 10.000-49.999 indbyg.</w:t>
            </w:r>
          </w:p>
        </w:tc>
      </w:tr>
      <w:tr w:rsidR="006D66BC" w:rsidRPr="00F10AB3" w:rsidTr="00C6665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center"/>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By med 1.000-9.999 indbyg</w:t>
            </w:r>
          </w:p>
        </w:tc>
        <w:tc>
          <w:tcPr>
            <w:tcW w:w="2984" w:type="dxa"/>
            <w:tcBorders>
              <w:top w:val="nil"/>
              <w:left w:val="nil"/>
              <w:bottom w:val="nil"/>
              <w:right w:val="single" w:sz="4" w:space="0" w:color="auto"/>
            </w:tcBorders>
            <w:shd w:val="clear" w:color="auto" w:fill="auto"/>
            <w:noWrap/>
            <w:vAlign w:val="center"/>
            <w:hideMark/>
          </w:tcPr>
          <w:p w:rsidR="006D66BC" w:rsidRPr="00F10AB3" w:rsidRDefault="006D66BC" w:rsidP="00E91916">
            <w:pPr>
              <w:spacing w:line="240" w:lineRule="auto"/>
              <w:rPr>
                <w:rFonts w:ascii="Calibri" w:hAnsi="Calibri"/>
                <w:color w:val="000000"/>
                <w:sz w:val="20"/>
                <w:szCs w:val="20"/>
                <w:lang w:val="da-DK"/>
              </w:rPr>
            </w:pPr>
            <w:r w:rsidRPr="00F10AB3">
              <w:rPr>
                <w:rFonts w:ascii="Calibri" w:hAnsi="Calibri"/>
                <w:color w:val="000000"/>
                <w:sz w:val="20"/>
                <w:szCs w:val="20"/>
                <w:lang w:val="da-DK"/>
              </w:rPr>
              <w:t>By med 1.000-9.999 indbyg</w:t>
            </w:r>
          </w:p>
        </w:tc>
      </w:tr>
      <w:tr w:rsidR="006D66BC" w:rsidRPr="00F10AB3" w:rsidTr="00C6665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center"/>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By med mindre end 1000 indbyg.</w:t>
            </w:r>
          </w:p>
        </w:tc>
        <w:tc>
          <w:tcPr>
            <w:tcW w:w="2984" w:type="dxa"/>
            <w:tcBorders>
              <w:top w:val="nil"/>
              <w:left w:val="nil"/>
              <w:bottom w:val="single" w:sz="4" w:space="0" w:color="auto"/>
              <w:right w:val="single" w:sz="4" w:space="0" w:color="auto"/>
            </w:tcBorders>
            <w:shd w:val="clear" w:color="auto" w:fill="auto"/>
            <w:noWrap/>
            <w:vAlign w:val="center"/>
            <w:hideMark/>
          </w:tcPr>
          <w:p w:rsidR="006D66BC" w:rsidRPr="00F10AB3" w:rsidRDefault="006D66BC" w:rsidP="00E91916">
            <w:pPr>
              <w:spacing w:line="240" w:lineRule="auto"/>
              <w:rPr>
                <w:rFonts w:ascii="Calibri" w:hAnsi="Calibri"/>
                <w:color w:val="000000"/>
                <w:sz w:val="20"/>
                <w:szCs w:val="20"/>
                <w:lang w:val="da-DK"/>
              </w:rPr>
            </w:pPr>
            <w:r w:rsidRPr="00F10AB3">
              <w:rPr>
                <w:rFonts w:ascii="Calibri" w:hAnsi="Calibri"/>
                <w:color w:val="000000"/>
                <w:sz w:val="20"/>
                <w:szCs w:val="20"/>
                <w:lang w:val="da-DK"/>
              </w:rPr>
              <w:t>By med mindre end 1000 indbyg.</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xml:space="preserve">Construction </w:t>
            </w:r>
            <w:proofErr w:type="spellStart"/>
            <w:r w:rsidRPr="00F10AB3">
              <w:rPr>
                <w:rFonts w:ascii="Calibri" w:hAnsi="Calibri"/>
                <w:color w:val="000000"/>
                <w:sz w:val="20"/>
                <w:szCs w:val="20"/>
                <w:lang w:val="da-DK"/>
              </w:rPr>
              <w:t>year</w:t>
            </w:r>
            <w:proofErr w:type="spellEnd"/>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XX-1960</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1961-1972</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1973-1978</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1979-1998</w:t>
            </w:r>
          </w:p>
        </w:tc>
      </w:tr>
      <w:tr w:rsidR="006D66BC"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single" w:sz="4" w:space="0" w:color="auto"/>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1999-YY</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Heating source</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Fjernvarme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xml:space="preserve">Fjernvarme </w:t>
            </w:r>
            <w:r>
              <w:rPr>
                <w:rFonts w:ascii="Calibri" w:hAnsi="Calibri"/>
                <w:color w:val="000000"/>
                <w:sz w:val="20"/>
                <w:szCs w:val="20"/>
                <w:lang w:val="da-DK"/>
              </w:rPr>
              <w:t>–</w:t>
            </w:r>
            <w:r w:rsidRPr="00F10AB3">
              <w:rPr>
                <w:rFonts w:ascii="Calibri" w:hAnsi="Calibri"/>
                <w:color w:val="000000"/>
                <w:sz w:val="20"/>
                <w:szCs w:val="20"/>
                <w:lang w:val="da-DK"/>
              </w:rPr>
              <w:t xml:space="preserve"> central</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Fjernvarme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xml:space="preserve">Fjernvarme </w:t>
            </w:r>
            <w:r>
              <w:rPr>
                <w:rFonts w:ascii="Calibri" w:hAnsi="Calibri"/>
                <w:color w:val="000000"/>
                <w:sz w:val="20"/>
                <w:szCs w:val="20"/>
                <w:lang w:val="da-DK"/>
              </w:rPr>
              <w:t>–</w:t>
            </w:r>
            <w:r w:rsidRPr="00F10AB3">
              <w:rPr>
                <w:rFonts w:ascii="Calibri" w:hAnsi="Calibri"/>
                <w:color w:val="000000"/>
                <w:sz w:val="20"/>
                <w:szCs w:val="20"/>
                <w:lang w:val="da-DK"/>
              </w:rPr>
              <w:t xml:space="preserve"> decentral</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Centralvarme med olie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Centralvarme med olie</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Centralvarme med naturgas</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Centralvarme med naturgas</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Centralvarme, ikke olie og naturgas</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Øvrige</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Varmepumpe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El</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lastRenderedPageBreak/>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Elvarme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El</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Øvrige ovne</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Øvrige</w:t>
            </w:r>
          </w:p>
        </w:tc>
      </w:tr>
      <w:tr w:rsidR="006D66BC"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Uoplyst</w:t>
            </w:r>
          </w:p>
        </w:tc>
        <w:tc>
          <w:tcPr>
            <w:tcW w:w="2984" w:type="dxa"/>
            <w:tcBorders>
              <w:top w:val="nil"/>
              <w:left w:val="nil"/>
              <w:bottom w:val="single" w:sz="4" w:space="0" w:color="auto"/>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Øvrige</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Household</w:t>
            </w:r>
            <w:proofErr w:type="spellEnd"/>
            <w:r w:rsidRPr="00F10AB3">
              <w:rPr>
                <w:rFonts w:ascii="Calibri" w:hAnsi="Calibri"/>
                <w:color w:val="000000"/>
                <w:sz w:val="20"/>
                <w:szCs w:val="20"/>
                <w:lang w:val="da-DK"/>
              </w:rPr>
              <w:t xml:space="preserve"> </w:t>
            </w:r>
            <w:proofErr w:type="spellStart"/>
            <w:r w:rsidRPr="00F10AB3">
              <w:rPr>
                <w:rFonts w:ascii="Calibri" w:hAnsi="Calibri"/>
                <w:color w:val="000000"/>
                <w:sz w:val="20"/>
                <w:szCs w:val="20"/>
                <w:lang w:val="da-DK"/>
              </w:rPr>
              <w:t>members</w:t>
            </w:r>
            <w:proofErr w:type="spellEnd"/>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 person</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1 person</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2 personer</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2 personer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3 personer</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3 personer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4 personer</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4 personer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5 personer</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5 personer</w:t>
            </w:r>
          </w:p>
        </w:tc>
      </w:tr>
      <w:tr w:rsidR="006D66BC"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6 personer eller derover</w:t>
            </w:r>
          </w:p>
        </w:tc>
        <w:tc>
          <w:tcPr>
            <w:tcW w:w="2984" w:type="dxa"/>
            <w:tcBorders>
              <w:top w:val="nil"/>
              <w:left w:val="nil"/>
              <w:bottom w:val="single" w:sz="4" w:space="0" w:color="auto"/>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6 personer eller derover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proofErr w:type="spellStart"/>
            <w:r w:rsidRPr="00F10AB3">
              <w:rPr>
                <w:rFonts w:ascii="Calibri" w:hAnsi="Calibri"/>
                <w:color w:val="000000"/>
                <w:sz w:val="20"/>
                <w:szCs w:val="20"/>
                <w:lang w:val="da-DK"/>
              </w:rPr>
              <w:t>Household</w:t>
            </w:r>
            <w:proofErr w:type="spellEnd"/>
            <w:r w:rsidRPr="00F10AB3">
              <w:rPr>
                <w:rFonts w:ascii="Calibri" w:hAnsi="Calibri"/>
                <w:color w:val="000000"/>
                <w:sz w:val="20"/>
                <w:szCs w:val="20"/>
                <w:lang w:val="da-DK"/>
              </w:rPr>
              <w:t xml:space="preserve"> </w:t>
            </w:r>
            <w:proofErr w:type="spellStart"/>
            <w:r w:rsidRPr="00F10AB3">
              <w:rPr>
                <w:rFonts w:ascii="Calibri" w:hAnsi="Calibri"/>
                <w:color w:val="000000"/>
                <w:sz w:val="20"/>
                <w:szCs w:val="20"/>
                <w:lang w:val="da-DK"/>
              </w:rPr>
              <w:t>income</w:t>
            </w:r>
            <w:proofErr w:type="spellEnd"/>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XX-200.000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200.000-300.000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300.000-400.000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400.000-500.000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500.000-600.000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600.000-700.000 kr.</w:t>
            </w:r>
          </w:p>
        </w:tc>
      </w:tr>
      <w:tr w:rsidR="006D66BC" w:rsidRPr="00F10AB3" w:rsidTr="006D66BC">
        <w:trPr>
          <w:trHeight w:val="255"/>
        </w:trPr>
        <w:tc>
          <w:tcPr>
            <w:tcW w:w="1931"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nil"/>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nil"/>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700.000-800.000 kr.</w:t>
            </w:r>
          </w:p>
        </w:tc>
      </w:tr>
      <w:tr w:rsidR="006D66BC" w:rsidRPr="00F10AB3" w:rsidTr="006D66BC">
        <w:trPr>
          <w:trHeight w:val="255"/>
        </w:trPr>
        <w:tc>
          <w:tcPr>
            <w:tcW w:w="1931"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3110" w:type="dxa"/>
            <w:tcBorders>
              <w:top w:val="nil"/>
              <w:left w:val="single" w:sz="4" w:space="0" w:color="auto"/>
              <w:bottom w:val="single" w:sz="4" w:space="0" w:color="auto"/>
              <w:right w:val="nil"/>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 </w:t>
            </w:r>
          </w:p>
        </w:tc>
        <w:tc>
          <w:tcPr>
            <w:tcW w:w="2984" w:type="dxa"/>
            <w:tcBorders>
              <w:top w:val="nil"/>
              <w:left w:val="nil"/>
              <w:bottom w:val="single" w:sz="4" w:space="0" w:color="auto"/>
              <w:right w:val="single" w:sz="4" w:space="0" w:color="auto"/>
            </w:tcBorders>
            <w:shd w:val="clear" w:color="auto" w:fill="auto"/>
            <w:noWrap/>
            <w:vAlign w:val="bottom"/>
            <w:hideMark/>
          </w:tcPr>
          <w:p w:rsidR="006D66BC" w:rsidRPr="00F10AB3" w:rsidRDefault="006D66BC" w:rsidP="00F10AB3">
            <w:pPr>
              <w:spacing w:line="240" w:lineRule="auto"/>
              <w:rPr>
                <w:rFonts w:ascii="Calibri" w:hAnsi="Calibri"/>
                <w:color w:val="000000"/>
                <w:sz w:val="20"/>
                <w:szCs w:val="20"/>
                <w:lang w:val="da-DK"/>
              </w:rPr>
            </w:pPr>
            <w:r w:rsidRPr="00F10AB3">
              <w:rPr>
                <w:rFonts w:ascii="Calibri" w:hAnsi="Calibri"/>
                <w:color w:val="000000"/>
                <w:sz w:val="20"/>
                <w:szCs w:val="20"/>
                <w:lang w:val="da-DK"/>
              </w:rPr>
              <w:t>800.000-YY kr.</w:t>
            </w:r>
          </w:p>
        </w:tc>
      </w:tr>
    </w:tbl>
    <w:p w:rsidR="00451E65" w:rsidRDefault="00451E65" w:rsidP="007809FD">
      <w:pPr>
        <w:tabs>
          <w:tab w:val="left" w:pos="3885"/>
        </w:tabs>
        <w:rPr>
          <w:lang w:val="da-DK"/>
        </w:rPr>
      </w:pPr>
    </w:p>
    <w:p w:rsidR="00BC3C60" w:rsidRPr="00F01799" w:rsidRDefault="00BC3C60" w:rsidP="007809FD">
      <w:pPr>
        <w:tabs>
          <w:tab w:val="left" w:pos="3885"/>
        </w:tabs>
        <w:rPr>
          <w:lang w:val="en-US"/>
        </w:rPr>
      </w:pPr>
    </w:p>
    <w:p w:rsidR="00BC3C60" w:rsidRPr="00F01799" w:rsidRDefault="00BC3C60" w:rsidP="007809FD">
      <w:pPr>
        <w:tabs>
          <w:tab w:val="left" w:pos="3885"/>
        </w:tabs>
        <w:rPr>
          <w:lang w:val="en-US"/>
        </w:rPr>
      </w:pPr>
    </w:p>
    <w:p w:rsidR="00BC3C60" w:rsidRPr="00F01799" w:rsidRDefault="00BC3C60" w:rsidP="007809FD">
      <w:pPr>
        <w:tabs>
          <w:tab w:val="left" w:pos="3885"/>
        </w:tabs>
        <w:rPr>
          <w:lang w:val="en-US"/>
        </w:rPr>
      </w:pPr>
    </w:p>
    <w:p w:rsidR="00BB1180" w:rsidRPr="00F01799" w:rsidRDefault="00BB1180">
      <w:pPr>
        <w:tabs>
          <w:tab w:val="left" w:pos="3885"/>
        </w:tabs>
        <w:rPr>
          <w:lang w:val="en-US"/>
        </w:rPr>
      </w:pPr>
    </w:p>
    <w:sectPr w:rsidR="00BB1180" w:rsidRPr="00F01799" w:rsidSect="00D552DE">
      <w:headerReference w:type="even" r:id="rId9"/>
      <w:headerReference w:type="default" r:id="rId10"/>
      <w:footerReference w:type="even" r:id="rId11"/>
      <w:footerReference w:type="default" r:id="rId12"/>
      <w:headerReference w:type="first" r:id="rId13"/>
      <w:footerReference w:type="first" r:id="rId14"/>
      <w:pgSz w:w="11906" w:h="16838" w:code="9"/>
      <w:pgMar w:top="2381" w:right="1701" w:bottom="737" w:left="1134"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5A6" w:rsidRDefault="00DC65A6">
      <w:r>
        <w:separator/>
      </w:r>
    </w:p>
  </w:endnote>
  <w:endnote w:type="continuationSeparator" w:id="0">
    <w:p w:rsidR="00DC65A6" w:rsidRDefault="00DC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5A6" w:rsidRDefault="00DC65A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9B" w:rsidRDefault="002F1C9B">
    <w:pPr>
      <w:pStyle w:val="Sidefod"/>
    </w:pPr>
    <w:r>
      <w:tab/>
    </w:r>
    <w:r w:rsidR="000007A3">
      <w:t>Page</w:t>
    </w:r>
    <w:r>
      <w:t xml:space="preserve"> </w:t>
    </w:r>
    <w:r w:rsidR="00E85C10">
      <w:rPr>
        <w:rStyle w:val="Sidetal"/>
      </w:rPr>
      <w:fldChar w:fldCharType="begin"/>
    </w:r>
    <w:r>
      <w:rPr>
        <w:rStyle w:val="Sidetal"/>
      </w:rPr>
      <w:instrText xml:space="preserve"> PAGE </w:instrText>
    </w:r>
    <w:r w:rsidR="00E85C10">
      <w:rPr>
        <w:rStyle w:val="Sidetal"/>
      </w:rPr>
      <w:fldChar w:fldCharType="separate"/>
    </w:r>
    <w:r w:rsidR="00002AB1">
      <w:rPr>
        <w:rStyle w:val="Sidetal"/>
        <w:noProof/>
      </w:rPr>
      <w:t>2</w:t>
    </w:r>
    <w:r w:rsidR="00E85C10">
      <w:rPr>
        <w:rStyle w:val="Sidet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29D" w:rsidRPr="00451E65" w:rsidRDefault="00325F38" w:rsidP="00451E65">
    <w:pPr>
      <w:pStyle w:val="Sidefod"/>
    </w:pPr>
    <w:r>
      <w:rPr>
        <w:noProof/>
        <w:lang w:val="da-DK"/>
      </w:rPr>
      <w:drawing>
        <wp:anchor distT="0" distB="0" distL="114300" distR="114300" simplePos="0" relativeHeight="251658240" behindDoc="1" locked="0" layoutInCell="1" allowOverlap="1" wp14:anchorId="2D4D15E0" wp14:editId="014CF943">
          <wp:simplePos x="0" y="0"/>
          <wp:positionH relativeFrom="column">
            <wp:posOffset>-292735</wp:posOffset>
          </wp:positionH>
          <wp:positionV relativeFrom="paragraph">
            <wp:posOffset>-225425</wp:posOffset>
          </wp:positionV>
          <wp:extent cx="1386840" cy="487680"/>
          <wp:effectExtent l="19050" t="0" r="3810" b="0"/>
          <wp:wrapNone/>
          <wp:docPr id="4" name="Billede 4" descr="Klima- og energiministeriet">
            <a:hlinkClick xmlns:a="http://schemas.openxmlformats.org/drawingml/2006/main" r:id="rId1" tooltip="&quot;Til forsid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lima- og energiministeriet">
                    <a:hlinkClick r:id="rId1" tooltip="&quot;Til forsiden&quot;"/>
                  </pic:cNvPr>
                  <pic:cNvPicPr>
                    <a:picLocks noChangeAspect="1" noChangeArrowheads="1"/>
                  </pic:cNvPicPr>
                </pic:nvPicPr>
                <pic:blipFill>
                  <a:blip r:embed="rId2" r:link="rId3"/>
                  <a:srcRect/>
                  <a:stretch>
                    <a:fillRect/>
                  </a:stretch>
                </pic:blipFill>
                <pic:spPr bwMode="auto">
                  <a:xfrm>
                    <a:off x="0" y="0"/>
                    <a:ext cx="1386840" cy="4876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5A6" w:rsidRDefault="00DC65A6">
      <w:r>
        <w:separator/>
      </w:r>
    </w:p>
  </w:footnote>
  <w:footnote w:type="continuationSeparator" w:id="0">
    <w:p w:rsidR="00DC65A6" w:rsidRDefault="00DC65A6">
      <w:r>
        <w:continuationSeparator/>
      </w:r>
    </w:p>
  </w:footnote>
  <w:footnote w:id="1">
    <w:p w:rsidR="00675178" w:rsidRPr="00DC65A6" w:rsidRDefault="00675178" w:rsidP="00675178">
      <w:pPr>
        <w:pStyle w:val="Fodnotetekst"/>
        <w:rPr>
          <w:lang w:val="en-US"/>
        </w:rPr>
      </w:pPr>
      <w:r>
        <w:rPr>
          <w:rStyle w:val="Fodnotehenvisning"/>
        </w:rPr>
        <w:footnoteRef/>
      </w:r>
      <w:r>
        <w:t xml:space="preserve"> Cf. </w:t>
      </w:r>
      <w:hyperlink r:id="rId1" w:history="1">
        <w:r w:rsidRPr="00FA0118">
          <w:rPr>
            <w:rStyle w:val="Hyperlink"/>
          </w:rPr>
          <w:t>http://www.dreammodel.dk/default_en.html</w:t>
        </w:r>
      </w:hyperlink>
      <w:r>
        <w:t xml:space="preserve"> </w:t>
      </w:r>
    </w:p>
  </w:footnote>
  <w:footnote w:id="2">
    <w:p w:rsidR="004C45AF" w:rsidRPr="004C45AF" w:rsidRDefault="004C45AF">
      <w:pPr>
        <w:pStyle w:val="Fodnotetekst"/>
        <w:rPr>
          <w:lang w:val="en-US"/>
        </w:rPr>
      </w:pPr>
      <w:r>
        <w:rPr>
          <w:rStyle w:val="Fodnotehenvisning"/>
        </w:rPr>
        <w:footnoteRef/>
      </w:r>
      <w:r>
        <w:t xml:space="preserve"> </w:t>
      </w:r>
      <w:r w:rsidRPr="004C45AF">
        <w:rPr>
          <w:lang w:val="en-US"/>
        </w:rPr>
        <w:t xml:space="preserve">The </w:t>
      </w:r>
      <w:r>
        <w:rPr>
          <w:lang w:val="en-US"/>
        </w:rPr>
        <w:t>basic premise</w:t>
      </w:r>
      <w:r w:rsidRPr="004C45AF">
        <w:rPr>
          <w:lang w:val="en-US"/>
        </w:rPr>
        <w:t xml:space="preserve"> in SMILE is that one house</w:t>
      </w:r>
      <w:r>
        <w:rPr>
          <w:lang w:val="en-US"/>
        </w:rPr>
        <w:t>hold is assigned one dwelling. It should be noted that one hous</w:t>
      </w:r>
      <w:r>
        <w:rPr>
          <w:lang w:val="en-US"/>
        </w:rPr>
        <w:t>e</w:t>
      </w:r>
      <w:r>
        <w:rPr>
          <w:lang w:val="en-US"/>
        </w:rPr>
        <w:t>hold can encompass more than one family.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5A6" w:rsidRDefault="00DC65A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5A6" w:rsidRDefault="00DC65A6">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9B" w:rsidRDefault="00217391">
    <w:pPr>
      <w:pStyle w:val="Sidehoved"/>
    </w:pPr>
    <w:r w:rsidRPr="006C1EA2">
      <w:rPr>
        <w:noProof/>
        <w:lang w:val="da-DK"/>
      </w:rPr>
      <w:drawing>
        <wp:anchor distT="0" distB="0" distL="114300" distR="114300" simplePos="0" relativeHeight="251660288" behindDoc="0" locked="0" layoutInCell="1" allowOverlap="1" wp14:anchorId="6307EBD4" wp14:editId="41EF0892">
          <wp:simplePos x="0" y="0"/>
          <wp:positionH relativeFrom="column">
            <wp:posOffset>-41910</wp:posOffset>
          </wp:positionH>
          <wp:positionV relativeFrom="paragraph">
            <wp:posOffset>-79710</wp:posOffset>
          </wp:positionV>
          <wp:extent cx="1983806" cy="793019"/>
          <wp:effectExtent l="0" t="0" r="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3806" cy="793019"/>
                  </a:xfrm>
                  <a:prstGeom prst="rect">
                    <a:avLst/>
                  </a:prstGeom>
                  <a:noFill/>
                  <a:ln>
                    <a:noFill/>
                  </a:ln>
                </pic:spPr>
              </pic:pic>
            </a:graphicData>
          </a:graphic>
          <wp14:sizeRelH relativeFrom="page">
            <wp14:pctWidth>0</wp14:pctWidth>
          </wp14:sizeRelH>
          <wp14:sizeRelV relativeFrom="page">
            <wp14:pctHeight>0</wp14:pctHeight>
          </wp14:sizeRelV>
        </wp:anchor>
      </w:drawing>
    </w:r>
    <w:r w:rsidR="00325F38">
      <w:rPr>
        <w:noProof/>
        <w:lang w:val="da-DK"/>
      </w:rPr>
      <w:drawing>
        <wp:anchor distT="0" distB="0" distL="114300" distR="114300" simplePos="0" relativeHeight="251657216" behindDoc="0" locked="0" layoutInCell="1" allowOverlap="1" wp14:anchorId="0A2899BE" wp14:editId="529EB330">
          <wp:simplePos x="0" y="0"/>
          <wp:positionH relativeFrom="column">
            <wp:posOffset>4000500</wp:posOffset>
          </wp:positionH>
          <wp:positionV relativeFrom="paragraph">
            <wp:posOffset>-81280</wp:posOffset>
          </wp:positionV>
          <wp:extent cx="2322195" cy="582930"/>
          <wp:effectExtent l="19050" t="0" r="1905" b="0"/>
          <wp:wrapNone/>
          <wp:docPr id="3" name="Billede 3" descr="Logou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uk_rgb"/>
                  <pic:cNvPicPr>
                    <a:picLocks noChangeAspect="1" noChangeArrowheads="1"/>
                  </pic:cNvPicPr>
                </pic:nvPicPr>
                <pic:blipFill>
                  <a:blip r:embed="rId2"/>
                  <a:srcRect/>
                  <a:stretch>
                    <a:fillRect/>
                  </a:stretch>
                </pic:blipFill>
                <pic:spPr bwMode="auto">
                  <a:xfrm>
                    <a:off x="0" y="0"/>
                    <a:ext cx="2322195" cy="5829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EF6CDFA"/>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ACF6238"/>
    <w:multiLevelType w:val="multilevel"/>
    <w:tmpl w:val="D2EC5DB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110258"/>
    <w:multiLevelType w:val="multilevel"/>
    <w:tmpl w:val="39A0F73A"/>
    <w:lvl w:ilvl="0">
      <w:start w:val="1"/>
      <w:numFmt w:val="bullet"/>
      <w:lvlRestart w:val="0"/>
      <w:lvlText w:val=""/>
      <w:lvlJc w:val="left"/>
      <w:pPr>
        <w:tabs>
          <w:tab w:val="num" w:pos="360"/>
        </w:tabs>
        <w:ind w:left="36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221067"/>
    <w:multiLevelType w:val="multilevel"/>
    <w:tmpl w:val="EBFE351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55236D8"/>
    <w:multiLevelType w:val="multilevel"/>
    <w:tmpl w:val="B44A0C9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0A11338"/>
    <w:multiLevelType w:val="multilevel"/>
    <w:tmpl w:val="1812B87A"/>
    <w:lvl w:ilvl="0">
      <w:start w:val="1"/>
      <w:numFmt w:val="decimal"/>
      <w:lvlText w:val="%1)"/>
      <w:lvlJc w:val="left"/>
      <w:pPr>
        <w:tabs>
          <w:tab w:val="num" w:pos="360"/>
        </w:tabs>
        <w:ind w:left="360" w:hanging="360"/>
      </w:pPr>
      <w:rPr>
        <w:rFonts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C6341D0"/>
    <w:multiLevelType w:val="multilevel"/>
    <w:tmpl w:val="5F781756"/>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7162DD9"/>
    <w:multiLevelType w:val="multilevel"/>
    <w:tmpl w:val="8A241A7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8CD6833"/>
    <w:multiLevelType w:val="multilevel"/>
    <w:tmpl w:val="503EC98C"/>
    <w:lvl w:ilvl="0">
      <w:start w:val="1"/>
      <w:numFmt w:val="bullet"/>
      <w:lvlRestart w:val="0"/>
      <w:lvlText w:val=""/>
      <w:lvlJc w:val="left"/>
      <w:pPr>
        <w:tabs>
          <w:tab w:val="num" w:pos="360"/>
        </w:tabs>
        <w:ind w:left="360" w:hanging="360"/>
      </w:pPr>
      <w:rPr>
        <w:rFonts w:ascii="Symbol" w:hAnsi="Symbol"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ACD02E5"/>
    <w:multiLevelType w:val="multilevel"/>
    <w:tmpl w:val="F3F461D6"/>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811674"/>
    <w:multiLevelType w:val="multilevel"/>
    <w:tmpl w:val="693C94A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1"/>
  </w:num>
  <w:num w:numId="4">
    <w:abstractNumId w:val="4"/>
  </w:num>
  <w:num w:numId="5">
    <w:abstractNumId w:val="9"/>
  </w:num>
  <w:num w:numId="6">
    <w:abstractNumId w:val="10"/>
  </w:num>
  <w:num w:numId="7">
    <w:abstractNumId w:val="7"/>
  </w:num>
  <w:num w:numId="8">
    <w:abstractNumId w:val="3"/>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14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DC65A6"/>
    <w:rsid w:val="000007A3"/>
    <w:rsid w:val="00002AB1"/>
    <w:rsid w:val="00016450"/>
    <w:rsid w:val="00062BD4"/>
    <w:rsid w:val="000948FA"/>
    <w:rsid w:val="00096AF9"/>
    <w:rsid w:val="00174F28"/>
    <w:rsid w:val="00194C0F"/>
    <w:rsid w:val="001F6AC1"/>
    <w:rsid w:val="002165DC"/>
    <w:rsid w:val="00217391"/>
    <w:rsid w:val="0027077A"/>
    <w:rsid w:val="002E000E"/>
    <w:rsid w:val="002F1C9B"/>
    <w:rsid w:val="00311C1E"/>
    <w:rsid w:val="00325F38"/>
    <w:rsid w:val="00347ACA"/>
    <w:rsid w:val="003928FD"/>
    <w:rsid w:val="003A5669"/>
    <w:rsid w:val="003B6352"/>
    <w:rsid w:val="003D6613"/>
    <w:rsid w:val="00412BBD"/>
    <w:rsid w:val="00423CAD"/>
    <w:rsid w:val="00435E06"/>
    <w:rsid w:val="00437BD0"/>
    <w:rsid w:val="0044691F"/>
    <w:rsid w:val="00451E65"/>
    <w:rsid w:val="004941E6"/>
    <w:rsid w:val="004C45AF"/>
    <w:rsid w:val="004F7A64"/>
    <w:rsid w:val="00527312"/>
    <w:rsid w:val="005662A8"/>
    <w:rsid w:val="00570185"/>
    <w:rsid w:val="00577AC3"/>
    <w:rsid w:val="005B5BE8"/>
    <w:rsid w:val="006052B9"/>
    <w:rsid w:val="006069B5"/>
    <w:rsid w:val="00631F76"/>
    <w:rsid w:val="00675178"/>
    <w:rsid w:val="00684AB3"/>
    <w:rsid w:val="0069729D"/>
    <w:rsid w:val="006B601C"/>
    <w:rsid w:val="006D011C"/>
    <w:rsid w:val="006D66BC"/>
    <w:rsid w:val="007809FD"/>
    <w:rsid w:val="0078302F"/>
    <w:rsid w:val="007952F7"/>
    <w:rsid w:val="007D7647"/>
    <w:rsid w:val="007E4A6A"/>
    <w:rsid w:val="007F23FD"/>
    <w:rsid w:val="00825F33"/>
    <w:rsid w:val="00827528"/>
    <w:rsid w:val="00872954"/>
    <w:rsid w:val="00881F6A"/>
    <w:rsid w:val="009205EE"/>
    <w:rsid w:val="0093370F"/>
    <w:rsid w:val="0097629F"/>
    <w:rsid w:val="009A0ADE"/>
    <w:rsid w:val="009A1CC4"/>
    <w:rsid w:val="009D1AEC"/>
    <w:rsid w:val="00A150EE"/>
    <w:rsid w:val="00A2070B"/>
    <w:rsid w:val="00A30F4D"/>
    <w:rsid w:val="00A6761B"/>
    <w:rsid w:val="00A94238"/>
    <w:rsid w:val="00AA1DF9"/>
    <w:rsid w:val="00AD1D77"/>
    <w:rsid w:val="00AF46AF"/>
    <w:rsid w:val="00AF5942"/>
    <w:rsid w:val="00B04696"/>
    <w:rsid w:val="00B65255"/>
    <w:rsid w:val="00B71B29"/>
    <w:rsid w:val="00B72AD7"/>
    <w:rsid w:val="00B77489"/>
    <w:rsid w:val="00B9307A"/>
    <w:rsid w:val="00BB1180"/>
    <w:rsid w:val="00BC3C60"/>
    <w:rsid w:val="00C1565D"/>
    <w:rsid w:val="00C430CD"/>
    <w:rsid w:val="00CC37BC"/>
    <w:rsid w:val="00CE2397"/>
    <w:rsid w:val="00D324E1"/>
    <w:rsid w:val="00D51208"/>
    <w:rsid w:val="00D552DE"/>
    <w:rsid w:val="00D81B82"/>
    <w:rsid w:val="00D90817"/>
    <w:rsid w:val="00DC65A6"/>
    <w:rsid w:val="00DE504F"/>
    <w:rsid w:val="00DE61EF"/>
    <w:rsid w:val="00DF2D47"/>
    <w:rsid w:val="00E115F3"/>
    <w:rsid w:val="00E30F65"/>
    <w:rsid w:val="00E413D9"/>
    <w:rsid w:val="00E54EE2"/>
    <w:rsid w:val="00E567CC"/>
    <w:rsid w:val="00E608FC"/>
    <w:rsid w:val="00E60AE3"/>
    <w:rsid w:val="00E85C10"/>
    <w:rsid w:val="00ED5406"/>
    <w:rsid w:val="00ED7D10"/>
    <w:rsid w:val="00EF6B43"/>
    <w:rsid w:val="00F01799"/>
    <w:rsid w:val="00F10AB3"/>
    <w:rsid w:val="00F555CE"/>
    <w:rsid w:val="00F631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B29"/>
    <w:pPr>
      <w:spacing w:line="280" w:lineRule="atLeast"/>
    </w:pPr>
    <w:rPr>
      <w:sz w:val="24"/>
      <w:szCs w:val="24"/>
      <w:lang w:val="en-GB"/>
    </w:rPr>
  </w:style>
  <w:style w:type="paragraph" w:styleId="Overskrift1">
    <w:name w:val="heading 1"/>
    <w:basedOn w:val="Normal"/>
    <w:next w:val="Normal"/>
    <w:qFormat/>
    <w:rsid w:val="00D324E1"/>
    <w:pPr>
      <w:keepNext/>
      <w:outlineLvl w:val="0"/>
    </w:pPr>
    <w:rPr>
      <w:rFonts w:cs="Arial"/>
      <w:b/>
      <w:bCs/>
    </w:rPr>
  </w:style>
  <w:style w:type="paragraph" w:styleId="Overskrift2">
    <w:name w:val="heading 2"/>
    <w:basedOn w:val="Normal"/>
    <w:next w:val="Normal"/>
    <w:qFormat/>
    <w:rsid w:val="00D324E1"/>
    <w:pPr>
      <w:keepNext/>
      <w:outlineLvl w:val="1"/>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D324E1"/>
    <w:pPr>
      <w:tabs>
        <w:tab w:val="center" w:pos="4819"/>
        <w:tab w:val="right" w:pos="9638"/>
      </w:tabs>
    </w:pPr>
  </w:style>
  <w:style w:type="paragraph" w:styleId="Sidefod">
    <w:name w:val="footer"/>
    <w:basedOn w:val="Normal-Infotekst"/>
    <w:rsid w:val="00D324E1"/>
    <w:pPr>
      <w:tabs>
        <w:tab w:val="right" w:pos="9072"/>
      </w:tabs>
    </w:pPr>
  </w:style>
  <w:style w:type="paragraph" w:styleId="Brdtekst">
    <w:name w:val="Body Text"/>
    <w:basedOn w:val="Normal"/>
    <w:semiHidden/>
    <w:rsid w:val="00D324E1"/>
    <w:rPr>
      <w:rFonts w:ascii="Arial" w:hAnsi="Arial" w:cs="Arial"/>
      <w:color w:val="EF9213"/>
      <w:sz w:val="16"/>
    </w:rPr>
  </w:style>
  <w:style w:type="character" w:styleId="Sidetal">
    <w:name w:val="page number"/>
    <w:basedOn w:val="Standardskrifttypeiafsnit"/>
    <w:rsid w:val="00D324E1"/>
  </w:style>
  <w:style w:type="paragraph" w:styleId="Brdtekst2">
    <w:name w:val="Body Text 2"/>
    <w:basedOn w:val="Normal"/>
    <w:semiHidden/>
    <w:rsid w:val="00D324E1"/>
    <w:pPr>
      <w:framePr w:wrap="auto" w:vAnchor="page" w:hAnchor="text" w:y="9640"/>
      <w:suppressOverlap/>
    </w:pPr>
  </w:style>
  <w:style w:type="paragraph" w:customStyle="1" w:styleId="Template-Firmainfo">
    <w:name w:val="Template - Firma info"/>
    <w:basedOn w:val="Template"/>
    <w:rsid w:val="00D324E1"/>
    <w:pPr>
      <w:tabs>
        <w:tab w:val="left" w:pos="510"/>
      </w:tabs>
      <w:spacing w:line="200" w:lineRule="exact"/>
    </w:pPr>
    <w:rPr>
      <w:color w:val="939397"/>
    </w:rPr>
  </w:style>
  <w:style w:type="paragraph" w:customStyle="1" w:styleId="Template-Firmainfohoved">
    <w:name w:val="Template - Firma info hoved"/>
    <w:basedOn w:val="Template"/>
    <w:rsid w:val="00D81B82"/>
    <w:pPr>
      <w:spacing w:line="200" w:lineRule="exact"/>
    </w:pPr>
    <w:rPr>
      <w:b/>
      <w:color w:val="EE7708"/>
    </w:rPr>
  </w:style>
  <w:style w:type="paragraph" w:customStyle="1" w:styleId="Template-Firmainfofod">
    <w:name w:val="Template - Firma info fod"/>
    <w:basedOn w:val="Template"/>
    <w:rsid w:val="00B77489"/>
    <w:rPr>
      <w:color w:val="EE7708"/>
      <w:szCs w:val="15"/>
    </w:rPr>
  </w:style>
  <w:style w:type="paragraph" w:customStyle="1" w:styleId="Normal-Infotekst">
    <w:name w:val="Normal - Info tekst"/>
    <w:basedOn w:val="Normal"/>
    <w:rsid w:val="00D324E1"/>
    <w:rPr>
      <w:sz w:val="20"/>
    </w:rPr>
  </w:style>
  <w:style w:type="paragraph" w:customStyle="1" w:styleId="Normal-Stillingsbetegnelse">
    <w:name w:val="Normal - Stillingsbetegnelse"/>
    <w:basedOn w:val="Normal"/>
    <w:rsid w:val="00D324E1"/>
    <w:rPr>
      <w:i/>
    </w:rPr>
  </w:style>
  <w:style w:type="paragraph" w:customStyle="1" w:styleId="Template">
    <w:name w:val="Template"/>
    <w:basedOn w:val="Normal"/>
    <w:rsid w:val="00174F28"/>
    <w:rPr>
      <w:rFonts w:ascii="Verdana" w:hAnsi="Verdana"/>
      <w:noProof/>
      <w:sz w:val="15"/>
    </w:rPr>
  </w:style>
  <w:style w:type="table" w:styleId="Tabel-Gitter">
    <w:name w:val="Table Grid"/>
    <w:basedOn w:val="Tabel-Normal"/>
    <w:rsid w:val="00F555C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DokumentNavn">
    <w:name w:val="Normal - Dokument Navn"/>
    <w:basedOn w:val="Normal"/>
    <w:rsid w:val="0093370F"/>
    <w:rPr>
      <w:rFonts w:ascii="Arial" w:hAnsi="Arial"/>
      <w:b/>
      <w:caps/>
    </w:rPr>
  </w:style>
  <w:style w:type="paragraph" w:styleId="Markeringsbobletekst">
    <w:name w:val="Balloon Text"/>
    <w:basedOn w:val="Normal"/>
    <w:link w:val="MarkeringsbobletekstTegn"/>
    <w:rsid w:val="0001645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rsid w:val="00016450"/>
    <w:rPr>
      <w:rFonts w:ascii="Tahoma" w:hAnsi="Tahoma" w:cs="Tahoma"/>
      <w:sz w:val="16"/>
      <w:szCs w:val="16"/>
      <w:lang w:val="en-GB"/>
    </w:rPr>
  </w:style>
  <w:style w:type="paragraph" w:styleId="Fodnotetekst">
    <w:name w:val="footnote text"/>
    <w:basedOn w:val="Normal"/>
    <w:link w:val="FodnotetekstTegn"/>
    <w:rsid w:val="00DC65A6"/>
    <w:pPr>
      <w:spacing w:line="240" w:lineRule="auto"/>
    </w:pPr>
    <w:rPr>
      <w:sz w:val="20"/>
      <w:szCs w:val="20"/>
    </w:rPr>
  </w:style>
  <w:style w:type="character" w:customStyle="1" w:styleId="FodnotetekstTegn">
    <w:name w:val="Fodnotetekst Tegn"/>
    <w:basedOn w:val="Standardskrifttypeiafsnit"/>
    <w:link w:val="Fodnotetekst"/>
    <w:rsid w:val="00DC65A6"/>
    <w:rPr>
      <w:lang w:val="en-GB"/>
    </w:rPr>
  </w:style>
  <w:style w:type="character" w:styleId="Fodnotehenvisning">
    <w:name w:val="footnote reference"/>
    <w:basedOn w:val="Standardskrifttypeiafsnit"/>
    <w:rsid w:val="00DC65A6"/>
    <w:rPr>
      <w:vertAlign w:val="superscript"/>
    </w:rPr>
  </w:style>
  <w:style w:type="character" w:styleId="Hyperlink">
    <w:name w:val="Hyperlink"/>
    <w:basedOn w:val="Standardskrifttypeiafsnit"/>
    <w:rsid w:val="00DC65A6"/>
    <w:rPr>
      <w:color w:val="0000FF" w:themeColor="hyperlink"/>
      <w:u w:val="single"/>
    </w:rPr>
  </w:style>
  <w:style w:type="paragraph" w:styleId="Opstilling-punkttegn">
    <w:name w:val="List Bullet"/>
    <w:basedOn w:val="Normal"/>
    <w:rsid w:val="00527312"/>
    <w:pPr>
      <w:numPr>
        <w:numId w:val="1"/>
      </w:numPr>
      <w:contextualSpacing/>
    </w:pPr>
  </w:style>
  <w:style w:type="paragraph" w:styleId="Listeafsnit">
    <w:name w:val="List Paragraph"/>
    <w:basedOn w:val="Normal"/>
    <w:uiPriority w:val="34"/>
    <w:qFormat/>
    <w:rsid w:val="005273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0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http://www.kemin.dk/PublishingImages/Forside/keminlogo_uk.gif" TargetMode="External"/><Relationship Id="rId2" Type="http://schemas.openxmlformats.org/officeDocument/2006/relationships/image" Target="media/image3.gif"/><Relationship Id="rId1" Type="http://schemas.openxmlformats.org/officeDocument/2006/relationships/hyperlink" Target="http://www.kemin.dk/en-U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reammodel.dk/default_en.htm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KEO\IntERACT\Skabeloner\IntERACT%20word-skabelon%20UK2.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D7DF1-FEF8-44E6-A416-43CC10E3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IntERACT word-skabelon UK2.dotm</Template>
  <TotalTime>525</TotalTime>
  <Pages>4</Pages>
  <Words>1148</Words>
  <Characters>6790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7923</CharactersWithSpaces>
  <SharedDoc>false</SharedDoc>
  <HLinks>
    <vt:vector size="12" baseType="variant">
      <vt:variant>
        <vt:i4>1245265</vt:i4>
      </vt:variant>
      <vt:variant>
        <vt:i4>-1</vt:i4>
      </vt:variant>
      <vt:variant>
        <vt:i4>2070</vt:i4>
      </vt:variant>
      <vt:variant>
        <vt:i4>4</vt:i4>
      </vt:variant>
      <vt:variant>
        <vt:lpwstr>http://www.kemin.dk/en-US</vt:lpwstr>
      </vt:variant>
      <vt:variant>
        <vt:lpwstr/>
      </vt:variant>
      <vt:variant>
        <vt:i4>5701669</vt:i4>
      </vt:variant>
      <vt:variant>
        <vt:i4>-1</vt:i4>
      </vt:variant>
      <vt:variant>
        <vt:i4>2070</vt:i4>
      </vt:variant>
      <vt:variant>
        <vt:i4>1</vt:i4>
      </vt:variant>
      <vt:variant>
        <vt:lpwstr>http://www.kemin.dk/PublishingImages/Forside/keminlogo_uk.gif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Birgitte Gersfelt</dc:creator>
  <cp:lastModifiedBy>Birgitte Gersfelt</cp:lastModifiedBy>
  <cp:revision>17</cp:revision>
  <cp:lastPrinted>2005-11-07T16:46:00Z</cp:lastPrinted>
  <dcterms:created xsi:type="dcterms:W3CDTF">2015-01-21T10:11:00Z</dcterms:created>
  <dcterms:modified xsi:type="dcterms:W3CDTF">2015-01-26T13:55:00Z</dcterms:modified>
</cp:coreProperties>
</file>