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1" w:type="dxa"/>
        <w:tblLayout w:type="fixed"/>
        <w:tblCellMar>
          <w:left w:w="0" w:type="dxa"/>
          <w:right w:w="0" w:type="dxa"/>
        </w:tblCellMar>
        <w:tblLook w:val="01E0" w:firstRow="1" w:lastRow="1" w:firstColumn="1" w:lastColumn="1" w:noHBand="0" w:noVBand="0"/>
      </w:tblPr>
      <w:tblGrid>
        <w:gridCol w:w="7083"/>
        <w:gridCol w:w="2128"/>
      </w:tblGrid>
      <w:tr w:rsidR="00F555CE" w14:paraId="13081D94" w14:textId="77777777" w:rsidTr="006B601C">
        <w:trPr>
          <w:trHeight w:val="3119"/>
        </w:trPr>
        <w:tc>
          <w:tcPr>
            <w:tcW w:w="7083" w:type="dxa"/>
          </w:tcPr>
          <w:p w14:paraId="2D527B4F" w14:textId="657F0525" w:rsidR="00F555CE" w:rsidRDefault="00B5553C" w:rsidP="0093370F">
            <w:pPr>
              <w:pStyle w:val="Normal-DokumentNavn"/>
            </w:pPr>
            <w:bookmarkStart w:id="0" w:name="_GoBack"/>
            <w:bookmarkEnd w:id="0"/>
            <w:r>
              <w:t>NOTAT</w:t>
            </w:r>
          </w:p>
        </w:tc>
        <w:tc>
          <w:tcPr>
            <w:tcW w:w="2128" w:type="dxa"/>
          </w:tcPr>
          <w:p w14:paraId="505140F8" w14:textId="77777777" w:rsidR="00F555CE" w:rsidRDefault="00217391" w:rsidP="006B601C">
            <w:pPr>
              <w:pStyle w:val="Normal-Infotekst"/>
            </w:pPr>
            <w:r>
              <w:fldChar w:fldCharType="begin"/>
            </w:r>
            <w:r>
              <w:instrText xml:space="preserve"> CREATEDATE  \@ "d. MMMM yyyy"  \* MERGEFORMAT </w:instrText>
            </w:r>
            <w:r>
              <w:fldChar w:fldCharType="separate"/>
            </w:r>
            <w:r w:rsidR="00E245A4">
              <w:rPr>
                <w:noProof/>
              </w:rPr>
              <w:t>3. november 2014</w:t>
            </w:r>
            <w:r>
              <w:rPr>
                <w:noProof/>
              </w:rPr>
              <w:fldChar w:fldCharType="end"/>
            </w:r>
          </w:p>
          <w:p w14:paraId="58363792" w14:textId="77777777" w:rsidR="00F555CE" w:rsidRDefault="0069729D" w:rsidP="006B601C">
            <w:pPr>
              <w:pStyle w:val="Normal-Infotekst"/>
            </w:pPr>
            <w:r>
              <w:t>File no</w:t>
            </w:r>
            <w:r w:rsidR="00F555CE">
              <w:t xml:space="preserve">. </w:t>
            </w:r>
            <w:bookmarkStart w:id="1" w:name="bmkFldJournalNr"/>
            <w:bookmarkEnd w:id="1"/>
          </w:p>
          <w:p w14:paraId="32FEAED6" w14:textId="77777777" w:rsidR="00F555CE" w:rsidRDefault="00F555CE" w:rsidP="006B601C">
            <w:pPr>
              <w:pStyle w:val="Normal-Infotekst"/>
            </w:pPr>
            <w:r>
              <w:t xml:space="preserve">Ref. </w:t>
            </w:r>
            <w:bookmarkStart w:id="2" w:name="bmkADReference"/>
            <w:bookmarkEnd w:id="2"/>
          </w:p>
          <w:p w14:paraId="6F861690" w14:textId="77777777" w:rsidR="00F555CE" w:rsidRDefault="00F555CE" w:rsidP="006B601C">
            <w:pPr>
              <w:pStyle w:val="Normal-Infotekst"/>
            </w:pPr>
            <w:bookmarkStart w:id="3" w:name="bmkADOmrådeUk"/>
            <w:bookmarkEnd w:id="3"/>
          </w:p>
          <w:p w14:paraId="061C95D1" w14:textId="77777777" w:rsidR="00F555CE" w:rsidRDefault="00F555CE" w:rsidP="006B601C">
            <w:pPr>
              <w:pStyle w:val="Normal-Infotekst"/>
            </w:pPr>
          </w:p>
          <w:p w14:paraId="11AC1E03" w14:textId="77777777" w:rsidR="00F555CE" w:rsidRDefault="0069729D" w:rsidP="006B601C">
            <w:pPr>
              <w:pStyle w:val="Normal-Infotekst"/>
            </w:pPr>
            <w:r>
              <w:t>Page</w:t>
            </w:r>
            <w:r w:rsidR="00F555CE">
              <w:t xml:space="preserve"> </w:t>
            </w:r>
            <w:r w:rsidR="00217391">
              <w:fldChar w:fldCharType="begin"/>
            </w:r>
            <w:r w:rsidR="00217391">
              <w:instrText xml:space="preserve"> PAGE  \* MERGEFORMAT </w:instrText>
            </w:r>
            <w:r w:rsidR="00217391">
              <w:fldChar w:fldCharType="separate"/>
            </w:r>
            <w:r w:rsidR="00B5790F">
              <w:rPr>
                <w:noProof/>
              </w:rPr>
              <w:t>1</w:t>
            </w:r>
            <w:r w:rsidR="00217391">
              <w:rPr>
                <w:noProof/>
              </w:rPr>
              <w:fldChar w:fldCharType="end"/>
            </w:r>
          </w:p>
        </w:tc>
      </w:tr>
    </w:tbl>
    <w:p w14:paraId="39636AFE" w14:textId="77777777" w:rsidR="00D74C22" w:rsidRDefault="00D74C22" w:rsidP="00D70505">
      <w:pPr>
        <w:rPr>
          <w:b/>
        </w:rPr>
      </w:pPr>
      <w:bookmarkStart w:id="4" w:name="korttekst"/>
      <w:bookmarkStart w:id="5" w:name="PCAStart"/>
      <w:bookmarkStart w:id="6" w:name="bmkADName"/>
      <w:bookmarkEnd w:id="4"/>
      <w:bookmarkEnd w:id="5"/>
      <w:bookmarkEnd w:id="6"/>
    </w:p>
    <w:p w14:paraId="57B427A9" w14:textId="044E723D" w:rsidR="00B5553C" w:rsidRPr="00B5553C" w:rsidRDefault="00201D0B" w:rsidP="00B5553C">
      <w:pPr>
        <w:pStyle w:val="Listeafsnit"/>
        <w:jc w:val="center"/>
        <w:rPr>
          <w:b/>
          <w:sz w:val="32"/>
        </w:rPr>
      </w:pPr>
      <w:r>
        <w:rPr>
          <w:b/>
          <w:sz w:val="32"/>
        </w:rPr>
        <w:t>Draft o</w:t>
      </w:r>
      <w:r w:rsidR="00B5553C" w:rsidRPr="00B5553C">
        <w:rPr>
          <w:b/>
          <w:sz w:val="32"/>
        </w:rPr>
        <w:t xml:space="preserve">verview on </w:t>
      </w:r>
      <w:r w:rsidR="00530E3D">
        <w:rPr>
          <w:b/>
          <w:sz w:val="32"/>
        </w:rPr>
        <w:t xml:space="preserve">draft </w:t>
      </w:r>
      <w:r w:rsidR="00B5553C" w:rsidRPr="00B5553C">
        <w:rPr>
          <w:b/>
          <w:sz w:val="32"/>
        </w:rPr>
        <w:t>scenario definitions, autumn 2014</w:t>
      </w:r>
    </w:p>
    <w:p w14:paraId="78A8D58A" w14:textId="77777777" w:rsidR="00B5553C" w:rsidRDefault="00B5553C" w:rsidP="00B5553C">
      <w:pPr>
        <w:pStyle w:val="Listeafsnit"/>
      </w:pPr>
    </w:p>
    <w:p w14:paraId="11C8BDB3" w14:textId="25D057E8" w:rsidR="00B5553C" w:rsidRDefault="00B5553C" w:rsidP="00B5553C">
      <w:pPr>
        <w:pStyle w:val="Listeafsnit"/>
      </w:pPr>
      <w:r>
        <w:t>This note describes the planned scenarios in a brief overview. The scenario structure revolves around so-called "storylines", which describe various successive policy a</w:t>
      </w:r>
      <w:r>
        <w:t>c</w:t>
      </w:r>
      <w:r>
        <w:t>tions, which lead to an increasingly green and/or cost-effective Danish energy supply.</w:t>
      </w:r>
    </w:p>
    <w:p w14:paraId="44C91A53" w14:textId="77777777" w:rsidR="00B5553C" w:rsidRDefault="00B5553C" w:rsidP="00B5553C">
      <w:pPr>
        <w:pStyle w:val="Listeafsnit"/>
      </w:pPr>
    </w:p>
    <w:p w14:paraId="3DA9DD3C" w14:textId="77777777" w:rsidR="002463BA" w:rsidRDefault="002463BA" w:rsidP="002463BA">
      <w:pPr>
        <w:pStyle w:val="Listeafsnit"/>
      </w:pPr>
      <w:r>
        <w:t>The storylines are repeated using varying assumptions reflecting the economic ci</w:t>
      </w:r>
      <w:r>
        <w:t>r</w:t>
      </w:r>
      <w:r>
        <w:t xml:space="preserve">cumstances surrounding the Danish energy system and overall economy, e.g. </w:t>
      </w:r>
    </w:p>
    <w:p w14:paraId="5E988223" w14:textId="77777777" w:rsidR="0090466A" w:rsidRDefault="0090466A" w:rsidP="002463BA">
      <w:pPr>
        <w:pStyle w:val="Listeafsnit"/>
      </w:pPr>
    </w:p>
    <w:p w14:paraId="38991FBD" w14:textId="50814FF2" w:rsidR="002463BA" w:rsidRDefault="002463BA" w:rsidP="002463BA">
      <w:pPr>
        <w:pStyle w:val="Listeafsnit"/>
        <w:numPr>
          <w:ilvl w:val="0"/>
          <w:numId w:val="4"/>
        </w:numPr>
      </w:pPr>
      <w:r>
        <w:t>the world market prices for fossil fuel</w:t>
      </w:r>
      <w:r w:rsidR="00AC21BE">
        <w:t xml:space="preserve">, </w:t>
      </w:r>
      <w:r>
        <w:t>biomass</w:t>
      </w:r>
      <w:r w:rsidR="00AC21BE">
        <w:t xml:space="preserve"> and CO2-qoutas</w:t>
      </w:r>
      <w:r>
        <w:t xml:space="preserve">, </w:t>
      </w:r>
    </w:p>
    <w:p w14:paraId="65636070" w14:textId="77777777" w:rsidR="002463BA" w:rsidRDefault="002463BA" w:rsidP="002463BA">
      <w:pPr>
        <w:pStyle w:val="Listeafsnit"/>
        <w:numPr>
          <w:ilvl w:val="0"/>
          <w:numId w:val="4"/>
        </w:numPr>
      </w:pPr>
      <w:r>
        <w:t xml:space="preserve">the expected effect of Denmark's closest trade partners' energy policy and its impact on their competitiveness, </w:t>
      </w:r>
    </w:p>
    <w:p w14:paraId="30778D2B" w14:textId="77777777" w:rsidR="002463BA" w:rsidRDefault="002463BA" w:rsidP="002463BA">
      <w:pPr>
        <w:pStyle w:val="Listeafsnit"/>
        <w:numPr>
          <w:ilvl w:val="0"/>
          <w:numId w:val="4"/>
        </w:numPr>
      </w:pPr>
      <w:r>
        <w:t xml:space="preserve">the strength of international competition as captured by the so-called </w:t>
      </w:r>
      <w:proofErr w:type="spellStart"/>
      <w:r>
        <w:t>Armin</w:t>
      </w:r>
      <w:r>
        <w:t>g</w:t>
      </w:r>
      <w:r>
        <w:t>ton</w:t>
      </w:r>
      <w:proofErr w:type="spellEnd"/>
      <w:r>
        <w:t xml:space="preserve"> elasticities, </w:t>
      </w:r>
    </w:p>
    <w:p w14:paraId="756F7459" w14:textId="67489F04" w:rsidR="002463BA" w:rsidRDefault="002463BA" w:rsidP="002463BA">
      <w:pPr>
        <w:pStyle w:val="Listeafsnit"/>
        <w:numPr>
          <w:ilvl w:val="0"/>
          <w:numId w:val="4"/>
        </w:numPr>
      </w:pPr>
      <w:proofErr w:type="gramStart"/>
      <w:r>
        <w:t>technological</w:t>
      </w:r>
      <w:proofErr w:type="gramEnd"/>
      <w:r>
        <w:t xml:space="preserve"> possibilities concerning e.g. electric vehicles</w:t>
      </w:r>
      <w:r w:rsidR="007121D1">
        <w:t>, conversion of wind power to liquid fuels, combinations hereof</w:t>
      </w:r>
      <w:r>
        <w:t xml:space="preserve"> etc.</w:t>
      </w:r>
    </w:p>
    <w:p w14:paraId="4FCF7058" w14:textId="77777777" w:rsidR="002463BA" w:rsidRDefault="002463BA" w:rsidP="00B5553C">
      <w:pPr>
        <w:pStyle w:val="Listeafsnit"/>
      </w:pPr>
    </w:p>
    <w:p w14:paraId="3899A539" w14:textId="0A77FA9C" w:rsidR="002463BA" w:rsidRDefault="0090466A" w:rsidP="00B5553C">
      <w:pPr>
        <w:pStyle w:val="Listeafsnit"/>
      </w:pPr>
      <w:r>
        <w:t xml:space="preserve">Further, this note describes the selection of baseline and reference scenarios, which form the background for comparing alternative scenarios with more ambitious Danish energy policies than already </w:t>
      </w:r>
      <w:proofErr w:type="spellStart"/>
      <w:r>
        <w:t>agreed</w:t>
      </w:r>
      <w:proofErr w:type="gramStart"/>
      <w:r>
        <w:t>.</w:t>
      </w:r>
      <w:r w:rsidR="00374938">
        <w:t>.æ</w:t>
      </w:r>
      <w:proofErr w:type="spellEnd"/>
      <w:proofErr w:type="gramEnd"/>
    </w:p>
    <w:p w14:paraId="701D5694" w14:textId="77777777" w:rsidR="002463BA" w:rsidRDefault="002463BA" w:rsidP="002463BA"/>
    <w:p w14:paraId="308F6A8C" w14:textId="21BDFD63" w:rsidR="002463BA" w:rsidRDefault="002463BA" w:rsidP="002463BA"/>
    <w:p w14:paraId="2DF46396" w14:textId="74454D93" w:rsidR="00876F81" w:rsidRDefault="002463BA">
      <w:pPr>
        <w:spacing w:line="240" w:lineRule="auto"/>
        <w:rPr>
          <w:b/>
        </w:rPr>
      </w:pPr>
      <w:r>
        <w:rPr>
          <w:b/>
        </w:rPr>
        <w:br w:type="page"/>
      </w:r>
    </w:p>
    <w:sdt>
      <w:sdtPr>
        <w:rPr>
          <w:rFonts w:ascii="Times New Roman" w:eastAsia="Times New Roman" w:hAnsi="Times New Roman" w:cs="Times New Roman"/>
          <w:color w:val="auto"/>
          <w:sz w:val="24"/>
          <w:szCs w:val="24"/>
          <w:lang w:val="en-GB" w:eastAsia="da-DK"/>
        </w:rPr>
        <w:id w:val="-654754699"/>
        <w:docPartObj>
          <w:docPartGallery w:val="Table of Contents"/>
          <w:docPartUnique/>
        </w:docPartObj>
      </w:sdtPr>
      <w:sdtEndPr>
        <w:rPr>
          <w:b/>
          <w:bCs/>
          <w:noProof/>
        </w:rPr>
      </w:sdtEndPr>
      <w:sdtContent>
        <w:p w14:paraId="139D30F6" w14:textId="3FCDDF73" w:rsidR="00876F81" w:rsidRDefault="00876F81">
          <w:pPr>
            <w:pStyle w:val="Overskrift"/>
          </w:pPr>
          <w:r>
            <w:t>Contents</w:t>
          </w:r>
        </w:p>
        <w:p w14:paraId="0E89C36E" w14:textId="77777777" w:rsidR="0006069E" w:rsidRDefault="00876F81">
          <w:pPr>
            <w:pStyle w:val="Indholdsfortegnelse1"/>
            <w:tabs>
              <w:tab w:val="right" w:leader="dot" w:pos="9061"/>
            </w:tabs>
            <w:rPr>
              <w:rFonts w:asciiTheme="minorHAnsi" w:eastAsiaTheme="minorEastAsia" w:hAnsiTheme="minorHAnsi" w:cstheme="minorBidi"/>
              <w:noProof/>
              <w:sz w:val="22"/>
              <w:szCs w:val="22"/>
              <w:lang w:val="da-DK"/>
            </w:rPr>
          </w:pPr>
          <w:r>
            <w:fldChar w:fldCharType="begin"/>
          </w:r>
          <w:r>
            <w:instrText xml:space="preserve"> TOC \o "1-3" \h \z \u </w:instrText>
          </w:r>
          <w:r>
            <w:fldChar w:fldCharType="separate"/>
          </w:r>
          <w:hyperlink w:anchor="_Toc405293358" w:history="1">
            <w:r w:rsidR="0006069E" w:rsidRPr="00A0464B">
              <w:rPr>
                <w:rStyle w:val="Hyperlink"/>
                <w:noProof/>
              </w:rPr>
              <w:t>The economic world surrounding Danish energy policy</w:t>
            </w:r>
            <w:r w:rsidR="0006069E">
              <w:rPr>
                <w:noProof/>
                <w:webHidden/>
              </w:rPr>
              <w:tab/>
            </w:r>
            <w:r w:rsidR="0006069E">
              <w:rPr>
                <w:noProof/>
                <w:webHidden/>
              </w:rPr>
              <w:fldChar w:fldCharType="begin"/>
            </w:r>
            <w:r w:rsidR="0006069E">
              <w:rPr>
                <w:noProof/>
                <w:webHidden/>
              </w:rPr>
              <w:instrText xml:space="preserve"> PAGEREF _Toc405293358 \h </w:instrText>
            </w:r>
            <w:r w:rsidR="0006069E">
              <w:rPr>
                <w:noProof/>
                <w:webHidden/>
              </w:rPr>
            </w:r>
            <w:r w:rsidR="0006069E">
              <w:rPr>
                <w:noProof/>
                <w:webHidden/>
              </w:rPr>
              <w:fldChar w:fldCharType="separate"/>
            </w:r>
            <w:r w:rsidR="0006069E">
              <w:rPr>
                <w:noProof/>
                <w:webHidden/>
              </w:rPr>
              <w:t>3</w:t>
            </w:r>
            <w:r w:rsidR="0006069E">
              <w:rPr>
                <w:noProof/>
                <w:webHidden/>
              </w:rPr>
              <w:fldChar w:fldCharType="end"/>
            </w:r>
          </w:hyperlink>
        </w:p>
        <w:p w14:paraId="561B096F"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59" w:history="1">
            <w:r w:rsidR="0006069E" w:rsidRPr="00A0464B">
              <w:rPr>
                <w:rStyle w:val="Hyperlink"/>
                <w:noProof/>
              </w:rPr>
              <w:t>Introduction</w:t>
            </w:r>
            <w:r w:rsidR="0006069E">
              <w:rPr>
                <w:noProof/>
                <w:webHidden/>
              </w:rPr>
              <w:tab/>
            </w:r>
            <w:r w:rsidR="0006069E">
              <w:rPr>
                <w:noProof/>
                <w:webHidden/>
              </w:rPr>
              <w:fldChar w:fldCharType="begin"/>
            </w:r>
            <w:r w:rsidR="0006069E">
              <w:rPr>
                <w:noProof/>
                <w:webHidden/>
              </w:rPr>
              <w:instrText xml:space="preserve"> PAGEREF _Toc405293359 \h </w:instrText>
            </w:r>
            <w:r w:rsidR="0006069E">
              <w:rPr>
                <w:noProof/>
                <w:webHidden/>
              </w:rPr>
            </w:r>
            <w:r w:rsidR="0006069E">
              <w:rPr>
                <w:noProof/>
                <w:webHidden/>
              </w:rPr>
              <w:fldChar w:fldCharType="separate"/>
            </w:r>
            <w:r w:rsidR="0006069E">
              <w:rPr>
                <w:noProof/>
                <w:webHidden/>
              </w:rPr>
              <w:t>3</w:t>
            </w:r>
            <w:r w:rsidR="0006069E">
              <w:rPr>
                <w:noProof/>
                <w:webHidden/>
              </w:rPr>
              <w:fldChar w:fldCharType="end"/>
            </w:r>
          </w:hyperlink>
        </w:p>
        <w:p w14:paraId="6645C32F"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0" w:history="1">
            <w:r w:rsidR="0006069E" w:rsidRPr="00A0464B">
              <w:rPr>
                <w:rStyle w:val="Hyperlink"/>
                <w:noProof/>
              </w:rPr>
              <w:t>Three RoW regimes are considered</w:t>
            </w:r>
            <w:r w:rsidR="0006069E">
              <w:rPr>
                <w:noProof/>
                <w:webHidden/>
              </w:rPr>
              <w:tab/>
            </w:r>
            <w:r w:rsidR="0006069E">
              <w:rPr>
                <w:noProof/>
                <w:webHidden/>
              </w:rPr>
              <w:fldChar w:fldCharType="begin"/>
            </w:r>
            <w:r w:rsidR="0006069E">
              <w:rPr>
                <w:noProof/>
                <w:webHidden/>
              </w:rPr>
              <w:instrText xml:space="preserve"> PAGEREF _Toc405293360 \h </w:instrText>
            </w:r>
            <w:r w:rsidR="0006069E">
              <w:rPr>
                <w:noProof/>
                <w:webHidden/>
              </w:rPr>
            </w:r>
            <w:r w:rsidR="0006069E">
              <w:rPr>
                <w:noProof/>
                <w:webHidden/>
              </w:rPr>
              <w:fldChar w:fldCharType="separate"/>
            </w:r>
            <w:r w:rsidR="0006069E">
              <w:rPr>
                <w:noProof/>
                <w:webHidden/>
              </w:rPr>
              <w:t>3</w:t>
            </w:r>
            <w:r w:rsidR="0006069E">
              <w:rPr>
                <w:noProof/>
                <w:webHidden/>
              </w:rPr>
              <w:fldChar w:fldCharType="end"/>
            </w:r>
          </w:hyperlink>
        </w:p>
        <w:p w14:paraId="1D5DD671"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1" w:history="1">
            <w:r w:rsidR="0006069E" w:rsidRPr="00A0464B">
              <w:rPr>
                <w:rStyle w:val="Hyperlink"/>
                <w:noProof/>
              </w:rPr>
              <w:t>Challenges and assumptions associated with RoW regimes</w:t>
            </w:r>
            <w:r w:rsidR="0006069E">
              <w:rPr>
                <w:noProof/>
                <w:webHidden/>
              </w:rPr>
              <w:tab/>
            </w:r>
            <w:r w:rsidR="0006069E">
              <w:rPr>
                <w:noProof/>
                <w:webHidden/>
              </w:rPr>
              <w:fldChar w:fldCharType="begin"/>
            </w:r>
            <w:r w:rsidR="0006069E">
              <w:rPr>
                <w:noProof/>
                <w:webHidden/>
              </w:rPr>
              <w:instrText xml:space="preserve"> PAGEREF _Toc405293361 \h </w:instrText>
            </w:r>
            <w:r w:rsidR="0006069E">
              <w:rPr>
                <w:noProof/>
                <w:webHidden/>
              </w:rPr>
            </w:r>
            <w:r w:rsidR="0006069E">
              <w:rPr>
                <w:noProof/>
                <w:webHidden/>
              </w:rPr>
              <w:fldChar w:fldCharType="separate"/>
            </w:r>
            <w:r w:rsidR="0006069E">
              <w:rPr>
                <w:noProof/>
                <w:webHidden/>
              </w:rPr>
              <w:t>5</w:t>
            </w:r>
            <w:r w:rsidR="0006069E">
              <w:rPr>
                <w:noProof/>
                <w:webHidden/>
              </w:rPr>
              <w:fldChar w:fldCharType="end"/>
            </w:r>
          </w:hyperlink>
        </w:p>
        <w:p w14:paraId="33F863E6" w14:textId="77777777" w:rsidR="0006069E" w:rsidRDefault="00F67DDE">
          <w:pPr>
            <w:pStyle w:val="Indholdsfortegnelse1"/>
            <w:tabs>
              <w:tab w:val="right" w:leader="dot" w:pos="9061"/>
            </w:tabs>
            <w:rPr>
              <w:rFonts w:asciiTheme="minorHAnsi" w:eastAsiaTheme="minorEastAsia" w:hAnsiTheme="minorHAnsi" w:cstheme="minorBidi"/>
              <w:noProof/>
              <w:sz w:val="22"/>
              <w:szCs w:val="22"/>
              <w:lang w:val="da-DK"/>
            </w:rPr>
          </w:pPr>
          <w:hyperlink w:anchor="_Toc405293362" w:history="1">
            <w:r w:rsidR="0006069E" w:rsidRPr="00A0464B">
              <w:rPr>
                <w:rStyle w:val="Hyperlink"/>
                <w:noProof/>
              </w:rPr>
              <w:t>Base year, reference and alternative scenarios</w:t>
            </w:r>
            <w:r w:rsidR="0006069E">
              <w:rPr>
                <w:noProof/>
                <w:webHidden/>
              </w:rPr>
              <w:tab/>
            </w:r>
            <w:r w:rsidR="0006069E">
              <w:rPr>
                <w:noProof/>
                <w:webHidden/>
              </w:rPr>
              <w:fldChar w:fldCharType="begin"/>
            </w:r>
            <w:r w:rsidR="0006069E">
              <w:rPr>
                <w:noProof/>
                <w:webHidden/>
              </w:rPr>
              <w:instrText xml:space="preserve"> PAGEREF _Toc405293362 \h </w:instrText>
            </w:r>
            <w:r w:rsidR="0006069E">
              <w:rPr>
                <w:noProof/>
                <w:webHidden/>
              </w:rPr>
            </w:r>
            <w:r w:rsidR="0006069E">
              <w:rPr>
                <w:noProof/>
                <w:webHidden/>
              </w:rPr>
              <w:fldChar w:fldCharType="separate"/>
            </w:r>
            <w:r w:rsidR="0006069E">
              <w:rPr>
                <w:noProof/>
                <w:webHidden/>
              </w:rPr>
              <w:t>7</w:t>
            </w:r>
            <w:r w:rsidR="0006069E">
              <w:rPr>
                <w:noProof/>
                <w:webHidden/>
              </w:rPr>
              <w:fldChar w:fldCharType="end"/>
            </w:r>
          </w:hyperlink>
        </w:p>
        <w:p w14:paraId="5B1D46E5"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3" w:history="1">
            <w:r w:rsidR="0006069E" w:rsidRPr="00A0464B">
              <w:rPr>
                <w:rStyle w:val="Hyperlink"/>
                <w:noProof/>
              </w:rPr>
              <w:t>Challenges and assumptions</w:t>
            </w:r>
            <w:r w:rsidR="0006069E">
              <w:rPr>
                <w:noProof/>
                <w:webHidden/>
              </w:rPr>
              <w:tab/>
            </w:r>
            <w:r w:rsidR="0006069E">
              <w:rPr>
                <w:noProof/>
                <w:webHidden/>
              </w:rPr>
              <w:fldChar w:fldCharType="begin"/>
            </w:r>
            <w:r w:rsidR="0006069E">
              <w:rPr>
                <w:noProof/>
                <w:webHidden/>
              </w:rPr>
              <w:instrText xml:space="preserve"> PAGEREF _Toc405293363 \h </w:instrText>
            </w:r>
            <w:r w:rsidR="0006069E">
              <w:rPr>
                <w:noProof/>
                <w:webHidden/>
              </w:rPr>
            </w:r>
            <w:r w:rsidR="0006069E">
              <w:rPr>
                <w:noProof/>
                <w:webHidden/>
              </w:rPr>
              <w:fldChar w:fldCharType="separate"/>
            </w:r>
            <w:r w:rsidR="0006069E">
              <w:rPr>
                <w:noProof/>
                <w:webHidden/>
              </w:rPr>
              <w:t>7</w:t>
            </w:r>
            <w:r w:rsidR="0006069E">
              <w:rPr>
                <w:noProof/>
                <w:webHidden/>
              </w:rPr>
              <w:fldChar w:fldCharType="end"/>
            </w:r>
          </w:hyperlink>
        </w:p>
        <w:p w14:paraId="0D359EF4" w14:textId="77777777" w:rsidR="0006069E" w:rsidRDefault="00F67DDE">
          <w:pPr>
            <w:pStyle w:val="Indholdsfortegnelse1"/>
            <w:tabs>
              <w:tab w:val="right" w:leader="dot" w:pos="9061"/>
            </w:tabs>
            <w:rPr>
              <w:rFonts w:asciiTheme="minorHAnsi" w:eastAsiaTheme="minorEastAsia" w:hAnsiTheme="minorHAnsi" w:cstheme="minorBidi"/>
              <w:noProof/>
              <w:sz w:val="22"/>
              <w:szCs w:val="22"/>
              <w:lang w:val="da-DK"/>
            </w:rPr>
          </w:pPr>
          <w:hyperlink w:anchor="_Toc405293364" w:history="1">
            <w:r w:rsidR="0006069E" w:rsidRPr="00A0464B">
              <w:rPr>
                <w:rStyle w:val="Hyperlink"/>
                <w:noProof/>
              </w:rPr>
              <w:t>Using storylines</w:t>
            </w:r>
            <w:r w:rsidR="0006069E">
              <w:rPr>
                <w:noProof/>
                <w:webHidden/>
              </w:rPr>
              <w:tab/>
            </w:r>
            <w:r w:rsidR="0006069E">
              <w:rPr>
                <w:noProof/>
                <w:webHidden/>
              </w:rPr>
              <w:fldChar w:fldCharType="begin"/>
            </w:r>
            <w:r w:rsidR="0006069E">
              <w:rPr>
                <w:noProof/>
                <w:webHidden/>
              </w:rPr>
              <w:instrText xml:space="preserve"> PAGEREF _Toc405293364 \h </w:instrText>
            </w:r>
            <w:r w:rsidR="0006069E">
              <w:rPr>
                <w:noProof/>
                <w:webHidden/>
              </w:rPr>
            </w:r>
            <w:r w:rsidR="0006069E">
              <w:rPr>
                <w:noProof/>
                <w:webHidden/>
              </w:rPr>
              <w:fldChar w:fldCharType="separate"/>
            </w:r>
            <w:r w:rsidR="0006069E">
              <w:rPr>
                <w:noProof/>
                <w:webHidden/>
              </w:rPr>
              <w:t>8</w:t>
            </w:r>
            <w:r w:rsidR="0006069E">
              <w:rPr>
                <w:noProof/>
                <w:webHidden/>
              </w:rPr>
              <w:fldChar w:fldCharType="end"/>
            </w:r>
          </w:hyperlink>
        </w:p>
        <w:p w14:paraId="5D1FAF5C"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5" w:history="1">
            <w:r w:rsidR="0006069E" w:rsidRPr="00A0464B">
              <w:rPr>
                <w:rStyle w:val="Hyperlink"/>
                <w:noProof/>
                <w:highlight w:val="yellow"/>
              </w:rPr>
              <w:t>Challenges and assumptions</w:t>
            </w:r>
            <w:r w:rsidR="0006069E">
              <w:rPr>
                <w:noProof/>
                <w:webHidden/>
              </w:rPr>
              <w:tab/>
            </w:r>
            <w:r w:rsidR="0006069E">
              <w:rPr>
                <w:noProof/>
                <w:webHidden/>
              </w:rPr>
              <w:fldChar w:fldCharType="begin"/>
            </w:r>
            <w:r w:rsidR="0006069E">
              <w:rPr>
                <w:noProof/>
                <w:webHidden/>
              </w:rPr>
              <w:instrText xml:space="preserve"> PAGEREF _Toc405293365 \h </w:instrText>
            </w:r>
            <w:r w:rsidR="0006069E">
              <w:rPr>
                <w:noProof/>
                <w:webHidden/>
              </w:rPr>
            </w:r>
            <w:r w:rsidR="0006069E">
              <w:rPr>
                <w:noProof/>
                <w:webHidden/>
              </w:rPr>
              <w:fldChar w:fldCharType="separate"/>
            </w:r>
            <w:r w:rsidR="0006069E">
              <w:rPr>
                <w:noProof/>
                <w:webHidden/>
              </w:rPr>
              <w:t>8</w:t>
            </w:r>
            <w:r w:rsidR="0006069E">
              <w:rPr>
                <w:noProof/>
                <w:webHidden/>
              </w:rPr>
              <w:fldChar w:fldCharType="end"/>
            </w:r>
          </w:hyperlink>
        </w:p>
        <w:p w14:paraId="23974985" w14:textId="77777777" w:rsidR="0006069E" w:rsidRDefault="00F67DDE">
          <w:pPr>
            <w:pStyle w:val="Indholdsfortegnelse1"/>
            <w:tabs>
              <w:tab w:val="right" w:leader="dot" w:pos="9061"/>
            </w:tabs>
            <w:rPr>
              <w:rFonts w:asciiTheme="minorHAnsi" w:eastAsiaTheme="minorEastAsia" w:hAnsiTheme="minorHAnsi" w:cstheme="minorBidi"/>
              <w:noProof/>
              <w:sz w:val="22"/>
              <w:szCs w:val="22"/>
              <w:lang w:val="da-DK"/>
            </w:rPr>
          </w:pPr>
          <w:hyperlink w:anchor="_Toc405293366" w:history="1">
            <w:r w:rsidR="0006069E" w:rsidRPr="00A0464B">
              <w:rPr>
                <w:rStyle w:val="Hyperlink"/>
                <w:noProof/>
              </w:rPr>
              <w:t>Other assumptions important to Danish energy policies</w:t>
            </w:r>
            <w:r w:rsidR="0006069E">
              <w:rPr>
                <w:noProof/>
                <w:webHidden/>
              </w:rPr>
              <w:tab/>
            </w:r>
            <w:r w:rsidR="0006069E">
              <w:rPr>
                <w:noProof/>
                <w:webHidden/>
              </w:rPr>
              <w:fldChar w:fldCharType="begin"/>
            </w:r>
            <w:r w:rsidR="0006069E">
              <w:rPr>
                <w:noProof/>
                <w:webHidden/>
              </w:rPr>
              <w:instrText xml:space="preserve"> PAGEREF _Toc405293366 \h </w:instrText>
            </w:r>
            <w:r w:rsidR="0006069E">
              <w:rPr>
                <w:noProof/>
                <w:webHidden/>
              </w:rPr>
            </w:r>
            <w:r w:rsidR="0006069E">
              <w:rPr>
                <w:noProof/>
                <w:webHidden/>
              </w:rPr>
              <w:fldChar w:fldCharType="separate"/>
            </w:r>
            <w:r w:rsidR="0006069E">
              <w:rPr>
                <w:noProof/>
                <w:webHidden/>
              </w:rPr>
              <w:t>9</w:t>
            </w:r>
            <w:r w:rsidR="0006069E">
              <w:rPr>
                <w:noProof/>
                <w:webHidden/>
              </w:rPr>
              <w:fldChar w:fldCharType="end"/>
            </w:r>
          </w:hyperlink>
        </w:p>
        <w:p w14:paraId="7DEC38C5"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7" w:history="1">
            <w:r w:rsidR="0006069E" w:rsidRPr="00A0464B">
              <w:rPr>
                <w:rStyle w:val="Hyperlink"/>
                <w:noProof/>
                <w:highlight w:val="yellow"/>
              </w:rPr>
              <w:t>Intoduction</w:t>
            </w:r>
            <w:r w:rsidR="0006069E">
              <w:rPr>
                <w:noProof/>
                <w:webHidden/>
              </w:rPr>
              <w:tab/>
            </w:r>
            <w:r w:rsidR="0006069E">
              <w:rPr>
                <w:noProof/>
                <w:webHidden/>
              </w:rPr>
              <w:fldChar w:fldCharType="begin"/>
            </w:r>
            <w:r w:rsidR="0006069E">
              <w:rPr>
                <w:noProof/>
                <w:webHidden/>
              </w:rPr>
              <w:instrText xml:space="preserve"> PAGEREF _Toc405293367 \h </w:instrText>
            </w:r>
            <w:r w:rsidR="0006069E">
              <w:rPr>
                <w:noProof/>
                <w:webHidden/>
              </w:rPr>
            </w:r>
            <w:r w:rsidR="0006069E">
              <w:rPr>
                <w:noProof/>
                <w:webHidden/>
              </w:rPr>
              <w:fldChar w:fldCharType="separate"/>
            </w:r>
            <w:r w:rsidR="0006069E">
              <w:rPr>
                <w:noProof/>
                <w:webHidden/>
              </w:rPr>
              <w:t>9</w:t>
            </w:r>
            <w:r w:rsidR="0006069E">
              <w:rPr>
                <w:noProof/>
                <w:webHidden/>
              </w:rPr>
              <w:fldChar w:fldCharType="end"/>
            </w:r>
          </w:hyperlink>
        </w:p>
        <w:p w14:paraId="6A4AEC61"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8" w:history="1">
            <w:r w:rsidR="0006069E" w:rsidRPr="00A0464B">
              <w:rPr>
                <w:rStyle w:val="Hyperlink"/>
                <w:noProof/>
                <w:highlight w:val="yellow"/>
              </w:rPr>
              <w:t>Modelling</w:t>
            </w:r>
            <w:r w:rsidR="0006069E">
              <w:rPr>
                <w:noProof/>
                <w:webHidden/>
              </w:rPr>
              <w:tab/>
            </w:r>
            <w:r w:rsidR="0006069E">
              <w:rPr>
                <w:noProof/>
                <w:webHidden/>
              </w:rPr>
              <w:fldChar w:fldCharType="begin"/>
            </w:r>
            <w:r w:rsidR="0006069E">
              <w:rPr>
                <w:noProof/>
                <w:webHidden/>
              </w:rPr>
              <w:instrText xml:space="preserve"> PAGEREF _Toc405293368 \h </w:instrText>
            </w:r>
            <w:r w:rsidR="0006069E">
              <w:rPr>
                <w:noProof/>
                <w:webHidden/>
              </w:rPr>
            </w:r>
            <w:r w:rsidR="0006069E">
              <w:rPr>
                <w:noProof/>
                <w:webHidden/>
              </w:rPr>
              <w:fldChar w:fldCharType="separate"/>
            </w:r>
            <w:r w:rsidR="0006069E">
              <w:rPr>
                <w:noProof/>
                <w:webHidden/>
              </w:rPr>
              <w:t>9</w:t>
            </w:r>
            <w:r w:rsidR="0006069E">
              <w:rPr>
                <w:noProof/>
                <w:webHidden/>
              </w:rPr>
              <w:fldChar w:fldCharType="end"/>
            </w:r>
          </w:hyperlink>
        </w:p>
        <w:p w14:paraId="575B272B" w14:textId="77777777" w:rsidR="0006069E" w:rsidRDefault="00F67DDE">
          <w:pPr>
            <w:pStyle w:val="Indholdsfortegnelse2"/>
            <w:tabs>
              <w:tab w:val="right" w:leader="dot" w:pos="9061"/>
            </w:tabs>
            <w:rPr>
              <w:rFonts w:asciiTheme="minorHAnsi" w:eastAsiaTheme="minorEastAsia" w:hAnsiTheme="minorHAnsi" w:cstheme="minorBidi"/>
              <w:noProof/>
              <w:sz w:val="22"/>
              <w:szCs w:val="22"/>
              <w:lang w:val="da-DK"/>
            </w:rPr>
          </w:pPr>
          <w:hyperlink w:anchor="_Toc405293369" w:history="1">
            <w:r w:rsidR="0006069E" w:rsidRPr="00A0464B">
              <w:rPr>
                <w:rStyle w:val="Hyperlink"/>
                <w:noProof/>
                <w:highlight w:val="yellow"/>
              </w:rPr>
              <w:t>Challenges and assumptions</w:t>
            </w:r>
            <w:r w:rsidR="0006069E">
              <w:rPr>
                <w:noProof/>
                <w:webHidden/>
              </w:rPr>
              <w:tab/>
            </w:r>
            <w:r w:rsidR="0006069E">
              <w:rPr>
                <w:noProof/>
                <w:webHidden/>
              </w:rPr>
              <w:fldChar w:fldCharType="begin"/>
            </w:r>
            <w:r w:rsidR="0006069E">
              <w:rPr>
                <w:noProof/>
                <w:webHidden/>
              </w:rPr>
              <w:instrText xml:space="preserve"> PAGEREF _Toc405293369 \h </w:instrText>
            </w:r>
            <w:r w:rsidR="0006069E">
              <w:rPr>
                <w:noProof/>
                <w:webHidden/>
              </w:rPr>
            </w:r>
            <w:r w:rsidR="0006069E">
              <w:rPr>
                <w:noProof/>
                <w:webHidden/>
              </w:rPr>
              <w:fldChar w:fldCharType="separate"/>
            </w:r>
            <w:r w:rsidR="0006069E">
              <w:rPr>
                <w:noProof/>
                <w:webHidden/>
              </w:rPr>
              <w:t>9</w:t>
            </w:r>
            <w:r w:rsidR="0006069E">
              <w:rPr>
                <w:noProof/>
                <w:webHidden/>
              </w:rPr>
              <w:fldChar w:fldCharType="end"/>
            </w:r>
          </w:hyperlink>
        </w:p>
        <w:p w14:paraId="5EFA85F8" w14:textId="77777777" w:rsidR="0006069E" w:rsidRDefault="00F67DDE">
          <w:pPr>
            <w:pStyle w:val="Indholdsfortegnelse1"/>
            <w:tabs>
              <w:tab w:val="right" w:leader="dot" w:pos="9061"/>
            </w:tabs>
            <w:rPr>
              <w:rFonts w:asciiTheme="minorHAnsi" w:eastAsiaTheme="minorEastAsia" w:hAnsiTheme="minorHAnsi" w:cstheme="minorBidi"/>
              <w:noProof/>
              <w:sz w:val="22"/>
              <w:szCs w:val="22"/>
              <w:lang w:val="da-DK"/>
            </w:rPr>
          </w:pPr>
          <w:hyperlink w:anchor="_Toc405293370" w:history="1">
            <w:r w:rsidR="0006069E" w:rsidRPr="00A0464B">
              <w:rPr>
                <w:rStyle w:val="Hyperlink"/>
                <w:noProof/>
              </w:rPr>
              <w:t>Appendix</w:t>
            </w:r>
            <w:r w:rsidR="0006069E">
              <w:rPr>
                <w:noProof/>
                <w:webHidden/>
              </w:rPr>
              <w:tab/>
            </w:r>
            <w:r w:rsidR="0006069E">
              <w:rPr>
                <w:noProof/>
                <w:webHidden/>
              </w:rPr>
              <w:fldChar w:fldCharType="begin"/>
            </w:r>
            <w:r w:rsidR="0006069E">
              <w:rPr>
                <w:noProof/>
                <w:webHidden/>
              </w:rPr>
              <w:instrText xml:space="preserve"> PAGEREF _Toc405293370 \h </w:instrText>
            </w:r>
            <w:r w:rsidR="0006069E">
              <w:rPr>
                <w:noProof/>
                <w:webHidden/>
              </w:rPr>
            </w:r>
            <w:r w:rsidR="0006069E">
              <w:rPr>
                <w:noProof/>
                <w:webHidden/>
              </w:rPr>
              <w:fldChar w:fldCharType="separate"/>
            </w:r>
            <w:r w:rsidR="0006069E">
              <w:rPr>
                <w:noProof/>
                <w:webHidden/>
              </w:rPr>
              <w:t>10</w:t>
            </w:r>
            <w:r w:rsidR="0006069E">
              <w:rPr>
                <w:noProof/>
                <w:webHidden/>
              </w:rPr>
              <w:fldChar w:fldCharType="end"/>
            </w:r>
          </w:hyperlink>
        </w:p>
        <w:p w14:paraId="106BFB14" w14:textId="19FDFC89" w:rsidR="00876F81" w:rsidRDefault="00876F81">
          <w:r>
            <w:rPr>
              <w:b/>
              <w:bCs/>
              <w:noProof/>
            </w:rPr>
            <w:fldChar w:fldCharType="end"/>
          </w:r>
        </w:p>
      </w:sdtContent>
    </w:sdt>
    <w:p w14:paraId="70AA253B" w14:textId="73661304" w:rsidR="00876F81" w:rsidRDefault="00876F81">
      <w:pPr>
        <w:spacing w:line="240" w:lineRule="auto"/>
        <w:rPr>
          <w:b/>
        </w:rPr>
      </w:pPr>
    </w:p>
    <w:p w14:paraId="7965EE03" w14:textId="55CEEB0C" w:rsidR="00876F81" w:rsidRDefault="00876F81">
      <w:pPr>
        <w:spacing w:line="240" w:lineRule="auto"/>
        <w:rPr>
          <w:b/>
        </w:rPr>
      </w:pPr>
      <w:r>
        <w:rPr>
          <w:b/>
        </w:rPr>
        <w:br w:type="page"/>
      </w:r>
    </w:p>
    <w:p w14:paraId="7E1C06FE" w14:textId="77777777" w:rsidR="002463BA" w:rsidRDefault="002463BA">
      <w:pPr>
        <w:spacing w:line="240" w:lineRule="auto"/>
        <w:rPr>
          <w:b/>
        </w:rPr>
      </w:pPr>
    </w:p>
    <w:p w14:paraId="0D408978" w14:textId="35F7BABB" w:rsidR="002463BA" w:rsidRDefault="002463BA" w:rsidP="002463BA">
      <w:pPr>
        <w:pStyle w:val="Overskrift1"/>
      </w:pPr>
      <w:bookmarkStart w:id="7" w:name="_Toc405293358"/>
      <w:r>
        <w:t>The economic world surrounding Danish energy policy</w:t>
      </w:r>
      <w:bookmarkEnd w:id="7"/>
    </w:p>
    <w:p w14:paraId="7FE6781D" w14:textId="6E268EEA" w:rsidR="002463BA" w:rsidRDefault="00095CB5" w:rsidP="008A4CB5">
      <w:pPr>
        <w:pStyle w:val="Overskrift1"/>
        <w:tabs>
          <w:tab w:val="left" w:pos="7480"/>
        </w:tabs>
      </w:pPr>
      <w:r>
        <w:tab/>
      </w:r>
    </w:p>
    <w:p w14:paraId="1183EFB1" w14:textId="7CE2C68C" w:rsidR="0090466A" w:rsidRDefault="0090466A" w:rsidP="0090466A">
      <w:pPr>
        <w:pStyle w:val="Overskrift2"/>
      </w:pPr>
      <w:bookmarkStart w:id="8" w:name="_Toc405293359"/>
      <w:r>
        <w:t>Introduction</w:t>
      </w:r>
      <w:bookmarkEnd w:id="8"/>
      <w:r w:rsidR="002463BA" w:rsidRPr="002463BA">
        <w:t xml:space="preserve"> </w:t>
      </w:r>
    </w:p>
    <w:p w14:paraId="7E3BC964" w14:textId="22E7EF82" w:rsidR="0090466A" w:rsidRDefault="0090466A" w:rsidP="002463BA">
      <w:r>
        <w:t xml:space="preserve">A key input to any economic model is the surrounding prices for the inputs important to the economic sectors in question. While the economic impacts of energy policy inside the Danish economy and energy system is modelled in reasonable detail, the impact of energy policy in the world outside Denmark (so called Rest-of-World, or </w:t>
      </w:r>
      <w:proofErr w:type="spellStart"/>
      <w:r>
        <w:t>RoW</w:t>
      </w:r>
      <w:proofErr w:type="spellEnd"/>
      <w:r>
        <w:t xml:space="preserve">), is not modelled at all. This is an important challenge since the impact of </w:t>
      </w:r>
      <w:proofErr w:type="spellStart"/>
      <w:r>
        <w:t>RoW</w:t>
      </w:r>
      <w:proofErr w:type="spellEnd"/>
      <w:r>
        <w:t xml:space="preserve"> energy policy on Denmark is twofold: </w:t>
      </w:r>
    </w:p>
    <w:p w14:paraId="65C136E2" w14:textId="77777777" w:rsidR="0090466A" w:rsidRDefault="0090466A" w:rsidP="002463BA"/>
    <w:p w14:paraId="40635FC2" w14:textId="0BE4E330" w:rsidR="0090466A" w:rsidRDefault="0090466A" w:rsidP="00876F81">
      <w:pPr>
        <w:pStyle w:val="Listeafsnit"/>
        <w:numPr>
          <w:ilvl w:val="0"/>
          <w:numId w:val="5"/>
        </w:numPr>
      </w:pPr>
      <w:proofErr w:type="spellStart"/>
      <w:r>
        <w:t>RoW</w:t>
      </w:r>
      <w:proofErr w:type="spellEnd"/>
      <w:r>
        <w:t xml:space="preserve"> energy policy affect</w:t>
      </w:r>
      <w:r w:rsidR="000A5DCF">
        <w:t>s</w:t>
      </w:r>
      <w:r>
        <w:t xml:space="preserve"> the international market prices of both fossil bio fuels</w:t>
      </w:r>
      <w:r w:rsidR="00530E3D">
        <w:t xml:space="preserve"> and CO2-qoutas.</w:t>
      </w:r>
    </w:p>
    <w:p w14:paraId="4D39DA5D" w14:textId="771DE5BC" w:rsidR="00FF30E4" w:rsidRDefault="00FF30E4" w:rsidP="00FF30E4">
      <w:pPr>
        <w:pStyle w:val="Listeafsnit"/>
        <w:numPr>
          <w:ilvl w:val="0"/>
          <w:numId w:val="5"/>
        </w:numPr>
      </w:pPr>
      <w:proofErr w:type="spellStart"/>
      <w:r>
        <w:t>RoW</w:t>
      </w:r>
      <w:proofErr w:type="spellEnd"/>
      <w:r>
        <w:t xml:space="preserve"> energy policy affect</w:t>
      </w:r>
      <w:r w:rsidR="000A5DCF">
        <w:t>s</w:t>
      </w:r>
      <w:r>
        <w:t xml:space="preserve"> the competitiveness of the Danish economy through their impact on important Danish trading partners.</w:t>
      </w:r>
    </w:p>
    <w:p w14:paraId="617DE327" w14:textId="77777777" w:rsidR="00FF30E4" w:rsidRDefault="00FF30E4" w:rsidP="00DD6E96">
      <w:pPr>
        <w:tabs>
          <w:tab w:val="left" w:pos="1380"/>
        </w:tabs>
        <w:rPr>
          <w:lang w:val="en-US"/>
        </w:rPr>
      </w:pPr>
    </w:p>
    <w:p w14:paraId="115A94DA" w14:textId="40A97F1A" w:rsidR="00DD6E96" w:rsidRDefault="00DD6E96" w:rsidP="00DD6E96">
      <w:pPr>
        <w:tabs>
          <w:tab w:val="left" w:pos="1380"/>
        </w:tabs>
        <w:rPr>
          <w:lang w:val="en-US"/>
        </w:rPr>
      </w:pPr>
      <w:r>
        <w:rPr>
          <w:lang w:val="en-US"/>
        </w:rPr>
        <w:t xml:space="preserve">The goal of the </w:t>
      </w:r>
      <w:proofErr w:type="spellStart"/>
      <w:r>
        <w:rPr>
          <w:lang w:val="en-US"/>
        </w:rPr>
        <w:t>RoW</w:t>
      </w:r>
      <w:proofErr w:type="spellEnd"/>
      <w:r>
        <w:rPr>
          <w:lang w:val="en-US"/>
        </w:rPr>
        <w:t xml:space="preserve"> regimes is to demonstrate alternative </w:t>
      </w:r>
      <w:r w:rsidR="00FF30E4">
        <w:rPr>
          <w:lang w:val="en-US"/>
        </w:rPr>
        <w:t xml:space="preserve">regimes </w:t>
      </w:r>
      <w:r>
        <w:rPr>
          <w:lang w:val="en-US"/>
        </w:rPr>
        <w:t xml:space="preserve">that would be </w:t>
      </w:r>
      <w:r w:rsidRPr="008A4CB5">
        <w:rPr>
          <w:i/>
          <w:lang w:val="en-US"/>
        </w:rPr>
        <w:t xml:space="preserve">possible yet </w:t>
      </w:r>
      <w:r w:rsidRPr="00DD6E96">
        <w:rPr>
          <w:i/>
          <w:lang w:val="en-US"/>
        </w:rPr>
        <w:t>not</w:t>
      </w:r>
      <w:r w:rsidRPr="00F40ADF">
        <w:rPr>
          <w:i/>
          <w:lang w:val="en-US"/>
        </w:rPr>
        <w:t xml:space="preserve"> extreme</w:t>
      </w:r>
      <w:r>
        <w:rPr>
          <w:lang w:val="en-US"/>
        </w:rPr>
        <w:t>. In the context of the current IntERACT it is deemed important to maintain the balance between the illustrating price levels and pathways that would be significantly diffe</w:t>
      </w:r>
      <w:r>
        <w:rPr>
          <w:lang w:val="en-US"/>
        </w:rPr>
        <w:t>r</w:t>
      </w:r>
      <w:r>
        <w:rPr>
          <w:lang w:val="en-US"/>
        </w:rPr>
        <w:t xml:space="preserve">ent from the reference </w:t>
      </w:r>
      <w:r w:rsidR="00FF30E4">
        <w:rPr>
          <w:lang w:val="en-US"/>
        </w:rPr>
        <w:t xml:space="preserve">regime </w:t>
      </w:r>
      <w:r>
        <w:rPr>
          <w:lang w:val="en-US"/>
        </w:rPr>
        <w:t xml:space="preserve">and at the same time, providing ‘high’ and ‘low’ estimates that would be </w:t>
      </w:r>
      <w:r>
        <w:rPr>
          <w:i/>
          <w:lang w:val="en-US"/>
        </w:rPr>
        <w:t>possible</w:t>
      </w:r>
      <w:r>
        <w:rPr>
          <w:lang w:val="en-US"/>
        </w:rPr>
        <w:t xml:space="preserve"> enough to still be informative and useful (as opposed to ‘extreme’ high and low price projections representing the boundaries of hypothetically achievable price develo</w:t>
      </w:r>
      <w:r>
        <w:rPr>
          <w:lang w:val="en-US"/>
        </w:rPr>
        <w:t>p</w:t>
      </w:r>
      <w:r>
        <w:rPr>
          <w:lang w:val="en-US"/>
        </w:rPr>
        <w:t xml:space="preserve">ments). </w:t>
      </w:r>
    </w:p>
    <w:p w14:paraId="78617397" w14:textId="77777777" w:rsidR="001D2DBB" w:rsidRDefault="001D2DBB" w:rsidP="00DD6E96">
      <w:pPr>
        <w:tabs>
          <w:tab w:val="left" w:pos="1380"/>
        </w:tabs>
        <w:rPr>
          <w:lang w:val="en-US"/>
        </w:rPr>
      </w:pPr>
    </w:p>
    <w:p w14:paraId="11978708" w14:textId="3A76BECA" w:rsidR="00AC21BE" w:rsidRPr="00107488" w:rsidRDefault="00FF30E4" w:rsidP="008A4CB5">
      <w:pPr>
        <w:pStyle w:val="Overskrift2"/>
      </w:pPr>
      <w:bookmarkStart w:id="9" w:name="_Toc405293360"/>
      <w:r w:rsidRPr="00107488">
        <w:t xml:space="preserve">Three </w:t>
      </w:r>
      <w:proofErr w:type="spellStart"/>
      <w:r w:rsidR="00AC21BE" w:rsidRPr="00107488">
        <w:t>RoW</w:t>
      </w:r>
      <w:proofErr w:type="spellEnd"/>
      <w:r w:rsidR="00AC21BE" w:rsidRPr="00107488">
        <w:t xml:space="preserve"> regimes are considered</w:t>
      </w:r>
      <w:bookmarkEnd w:id="9"/>
    </w:p>
    <w:p w14:paraId="153DF974" w14:textId="77777777" w:rsidR="00AC21BE" w:rsidRDefault="00AC21BE" w:rsidP="008A4CB5">
      <w:pPr>
        <w:pStyle w:val="Listeafsnit"/>
      </w:pPr>
    </w:p>
    <w:p w14:paraId="6B482563" w14:textId="59F23C6C" w:rsidR="00AC21BE" w:rsidRDefault="00FF30E4" w:rsidP="008A4CB5">
      <w:pPr>
        <w:pStyle w:val="Listeafsnit"/>
        <w:numPr>
          <w:ilvl w:val="0"/>
          <w:numId w:val="5"/>
        </w:numPr>
      </w:pPr>
      <w:r>
        <w:t xml:space="preserve">A reference level </w:t>
      </w:r>
      <w:r w:rsidR="00D83E38">
        <w:t>(business as usual</w:t>
      </w:r>
      <w:r w:rsidR="007121D1">
        <w:t xml:space="preserve"> / most probable </w:t>
      </w:r>
      <w:r w:rsidR="00DC178B">
        <w:t>/ middle of the road / blue regime</w:t>
      </w:r>
      <w:r w:rsidR="00D83E38">
        <w:t xml:space="preserve">) </w:t>
      </w:r>
      <w:proofErr w:type="spellStart"/>
      <w:r>
        <w:t>RoW</w:t>
      </w:r>
      <w:proofErr w:type="spellEnd"/>
      <w:r>
        <w:t xml:space="preserve"> regime</w:t>
      </w:r>
      <w:r w:rsidR="007121D1">
        <w:t>,</w:t>
      </w:r>
      <w:r>
        <w:t xml:space="preserve"> which reflects the most probable deve</w:t>
      </w:r>
      <w:r w:rsidR="00AC21BE">
        <w:t>l</w:t>
      </w:r>
      <w:r>
        <w:t>opment in fuel and C</w:t>
      </w:r>
      <w:r w:rsidR="00AC21BE">
        <w:t>O2-quota prices in combination.</w:t>
      </w:r>
    </w:p>
    <w:p w14:paraId="33F691A3" w14:textId="77777777" w:rsidR="00AC21BE" w:rsidRDefault="00AC21BE" w:rsidP="008A4CB5">
      <w:pPr>
        <w:pStyle w:val="Listeafsnit"/>
      </w:pPr>
    </w:p>
    <w:p w14:paraId="0B8C7403" w14:textId="76CEE1D7" w:rsidR="00AC21BE" w:rsidRDefault="00FF30E4" w:rsidP="008A4CB5">
      <w:pPr>
        <w:pStyle w:val="Listeafsnit"/>
        <w:numPr>
          <w:ilvl w:val="0"/>
          <w:numId w:val="5"/>
        </w:numPr>
      </w:pPr>
      <w:r>
        <w:t>Black regime reflects a world where little is done to reduce GHG-emission</w:t>
      </w:r>
      <w:r w:rsidR="00AC21BE">
        <w:t xml:space="preserve"> on a global scale, combined with the assumed market factors this </w:t>
      </w:r>
      <w:r>
        <w:t xml:space="preserve">results in a high demand for </w:t>
      </w:r>
      <w:r w:rsidR="007121D1">
        <w:t>fo</w:t>
      </w:r>
      <w:r w:rsidR="007121D1">
        <w:t>s</w:t>
      </w:r>
      <w:r w:rsidR="007121D1">
        <w:t>sil</w:t>
      </w:r>
      <w:r>
        <w:t xml:space="preserve"> fuel and low demand for biomass, which is reflected in high </w:t>
      </w:r>
      <w:r w:rsidR="007121D1">
        <w:t>fossil</w:t>
      </w:r>
      <w:r>
        <w:t xml:space="preserve"> fuel prices, </w:t>
      </w:r>
      <w:r w:rsidR="007121D1">
        <w:t>w</w:t>
      </w:r>
      <w:r>
        <w:t>hereas the price for biomass and CO2-quotas are low. In this regime it is too assume that the GHG abatement cost incurred by Danish trading partners are low, for this re</w:t>
      </w:r>
      <w:r>
        <w:t>a</w:t>
      </w:r>
      <w:r>
        <w:t>son the Danish economy is assume</w:t>
      </w:r>
      <w:r w:rsidR="00BC4A9F">
        <w:t>d</w:t>
      </w:r>
      <w:r>
        <w:t xml:space="preserve"> to be relative more exposed in terms relative low competitiveness of the Danish Economy. </w:t>
      </w:r>
    </w:p>
    <w:p w14:paraId="05978573" w14:textId="77777777" w:rsidR="00AC21BE" w:rsidRDefault="00AC21BE" w:rsidP="008A4CB5">
      <w:pPr>
        <w:pStyle w:val="Listeafsnit"/>
      </w:pPr>
    </w:p>
    <w:p w14:paraId="338E3A24" w14:textId="7FF06894" w:rsidR="00FF30E4" w:rsidRDefault="00AC21BE" w:rsidP="008A4CB5">
      <w:pPr>
        <w:pStyle w:val="Listeafsnit"/>
        <w:numPr>
          <w:ilvl w:val="0"/>
          <w:numId w:val="5"/>
        </w:numPr>
      </w:pPr>
      <w:r>
        <w:t>G</w:t>
      </w:r>
      <w:r w:rsidR="00FF30E4">
        <w:t xml:space="preserve">reen regime reflects a global commitment to global </w:t>
      </w:r>
      <w:r>
        <w:t xml:space="preserve">GHG abatement combined with market factors that keep </w:t>
      </w:r>
      <w:r w:rsidR="007121D1">
        <w:t>fossil</w:t>
      </w:r>
      <w:r>
        <w:t xml:space="preserve"> fuel prices low</w:t>
      </w:r>
      <w:r w:rsidR="00FF30E4">
        <w:t xml:space="preserve">. This policy is reflected in a high CO2-quota and biomass prices, whereas the </w:t>
      </w:r>
      <w:r w:rsidR="007121D1">
        <w:t>fossil</w:t>
      </w:r>
      <w:r w:rsidR="00FF30E4">
        <w:t xml:space="preserve"> fuel prices are low. In terms of compet</w:t>
      </w:r>
      <w:r w:rsidR="00FF30E4">
        <w:t>i</w:t>
      </w:r>
      <w:r w:rsidR="00FF30E4">
        <w:t>tive the global commitment will most probably result in high abatement cost suffered by Danish trading partners. It is hence assume that the competitivenes</w:t>
      </w:r>
      <w:r w:rsidR="007121D1">
        <w:t>s</w:t>
      </w:r>
      <w:r w:rsidR="00FF30E4">
        <w:t xml:space="preserve"> of the Danish economy in this case will be relative high. </w:t>
      </w:r>
    </w:p>
    <w:p w14:paraId="654612C7" w14:textId="77777777" w:rsidR="00FF30E4" w:rsidRDefault="00FF30E4" w:rsidP="00FF30E4"/>
    <w:p w14:paraId="160F4004" w14:textId="4ECE5BD4" w:rsidR="00AC21BE" w:rsidRPr="002463BA" w:rsidRDefault="00AC21BE" w:rsidP="00FF30E4">
      <w:r>
        <w:t xml:space="preserve">The </w:t>
      </w:r>
      <w:proofErr w:type="spellStart"/>
      <w:r>
        <w:t>RoW</w:t>
      </w:r>
      <w:proofErr w:type="spellEnd"/>
      <w:r>
        <w:t xml:space="preserve"> regimes are </w:t>
      </w:r>
      <w:r w:rsidR="007121D1">
        <w:t>summa</w:t>
      </w:r>
      <w:r>
        <w:t>rised in tabl</w:t>
      </w:r>
      <w:r w:rsidR="007121D1">
        <w:t>e</w:t>
      </w:r>
      <w:r>
        <w:t xml:space="preserve"> 1.</w:t>
      </w:r>
    </w:p>
    <w:p w14:paraId="106466E5" w14:textId="77777777" w:rsidR="00FF30E4" w:rsidRDefault="00FF30E4">
      <w:pPr>
        <w:spacing w:line="240" w:lineRule="auto"/>
        <w:rPr>
          <w:b/>
          <w:bCs/>
          <w:color w:val="4F81BD" w:themeColor="accent1"/>
          <w:sz w:val="18"/>
          <w:szCs w:val="18"/>
        </w:rPr>
      </w:pPr>
      <w:r>
        <w:br w:type="page"/>
      </w:r>
    </w:p>
    <w:p w14:paraId="4C4B4438" w14:textId="358026FC" w:rsidR="00FF30E4" w:rsidRPr="002463BA" w:rsidRDefault="00FF30E4" w:rsidP="00FF30E4">
      <w:pPr>
        <w:pStyle w:val="Billedtekst"/>
      </w:pPr>
      <w:proofErr w:type="spellStart"/>
      <w:r>
        <w:lastRenderedPageBreak/>
        <w:t>Tabel</w:t>
      </w:r>
      <w:proofErr w:type="spellEnd"/>
      <w:r>
        <w:t xml:space="preserve"> </w:t>
      </w:r>
      <w:r>
        <w:fldChar w:fldCharType="begin"/>
      </w:r>
      <w:r>
        <w:instrText xml:space="preserve"> SEQ Tabel \* ARABIC </w:instrText>
      </w:r>
      <w:r>
        <w:fldChar w:fldCharType="separate"/>
      </w:r>
      <w:r w:rsidR="009E7473">
        <w:rPr>
          <w:noProof/>
        </w:rPr>
        <w:t>1</w:t>
      </w:r>
      <w:r>
        <w:fldChar w:fldCharType="end"/>
      </w:r>
      <w:r>
        <w:t xml:space="preserve">: IntERACT </w:t>
      </w:r>
      <w:proofErr w:type="spellStart"/>
      <w:r w:rsidRPr="002463BA">
        <w:t>RoW</w:t>
      </w:r>
      <w:proofErr w:type="spellEnd"/>
      <w:r w:rsidRPr="002463BA">
        <w:t xml:space="preserve"> Regimes</w:t>
      </w:r>
    </w:p>
    <w:tbl>
      <w:tblPr>
        <w:tblStyle w:val="Tabel-Gitter"/>
        <w:tblW w:w="0" w:type="auto"/>
        <w:tblLook w:val="04A0" w:firstRow="1" w:lastRow="0" w:firstColumn="1" w:lastColumn="0" w:noHBand="0" w:noVBand="1"/>
      </w:tblPr>
      <w:tblGrid>
        <w:gridCol w:w="1511"/>
        <w:gridCol w:w="1861"/>
        <w:gridCol w:w="2226"/>
        <w:gridCol w:w="1536"/>
        <w:gridCol w:w="2153"/>
      </w:tblGrid>
      <w:tr w:rsidR="00765D97" w:rsidRPr="002463BA" w14:paraId="413996C8" w14:textId="77777777" w:rsidTr="008A4CB5">
        <w:tc>
          <w:tcPr>
            <w:tcW w:w="1511" w:type="dxa"/>
          </w:tcPr>
          <w:p w14:paraId="7E84EFB5" w14:textId="77777777" w:rsidR="00765D97" w:rsidRPr="002463BA" w:rsidRDefault="00765D97" w:rsidP="00FF30E4">
            <w:pPr>
              <w:spacing w:line="240" w:lineRule="auto"/>
            </w:pPr>
          </w:p>
        </w:tc>
        <w:tc>
          <w:tcPr>
            <w:tcW w:w="1861" w:type="dxa"/>
          </w:tcPr>
          <w:p w14:paraId="4CECEB03" w14:textId="456730A4" w:rsidR="00765D97" w:rsidRPr="00876F81" w:rsidRDefault="007121D1" w:rsidP="00FF30E4">
            <w:pPr>
              <w:spacing w:line="240" w:lineRule="auto"/>
              <w:rPr>
                <w:b/>
              </w:rPr>
            </w:pPr>
            <w:r>
              <w:rPr>
                <w:b/>
              </w:rPr>
              <w:t>Fossil</w:t>
            </w:r>
            <w:r w:rsidR="00765D97">
              <w:rPr>
                <w:b/>
              </w:rPr>
              <w:t xml:space="preserve"> fuel i</w:t>
            </w:r>
            <w:r w:rsidR="00765D97">
              <w:rPr>
                <w:b/>
              </w:rPr>
              <w:t>m</w:t>
            </w:r>
            <w:r w:rsidR="00765D97">
              <w:rPr>
                <w:b/>
              </w:rPr>
              <w:t>port cost</w:t>
            </w:r>
          </w:p>
        </w:tc>
        <w:tc>
          <w:tcPr>
            <w:tcW w:w="2226" w:type="dxa"/>
          </w:tcPr>
          <w:p w14:paraId="3800C076" w14:textId="504F9C2A" w:rsidR="00765D97" w:rsidRPr="00876F81" w:rsidRDefault="00765D97" w:rsidP="00FF30E4">
            <w:pPr>
              <w:spacing w:line="240" w:lineRule="auto"/>
              <w:rPr>
                <w:b/>
              </w:rPr>
            </w:pPr>
            <w:r w:rsidRPr="00876F81">
              <w:rPr>
                <w:b/>
              </w:rPr>
              <w:t>Biomass import cost</w:t>
            </w:r>
            <w:r w:rsidR="007E48E5">
              <w:rPr>
                <w:b/>
              </w:rPr>
              <w:t xml:space="preserve"> / biomass availability</w:t>
            </w:r>
          </w:p>
        </w:tc>
        <w:tc>
          <w:tcPr>
            <w:tcW w:w="1536" w:type="dxa"/>
          </w:tcPr>
          <w:p w14:paraId="26CA875B" w14:textId="43790CF6" w:rsidR="00765D97" w:rsidRPr="00876F81" w:rsidRDefault="00765D97" w:rsidP="00FF30E4">
            <w:pPr>
              <w:spacing w:line="240" w:lineRule="auto"/>
              <w:rPr>
                <w:b/>
              </w:rPr>
            </w:pPr>
            <w:r>
              <w:rPr>
                <w:b/>
              </w:rPr>
              <w:t>CO2-qouta price</w:t>
            </w:r>
          </w:p>
        </w:tc>
        <w:tc>
          <w:tcPr>
            <w:tcW w:w="2153" w:type="dxa"/>
          </w:tcPr>
          <w:p w14:paraId="0FE437B3" w14:textId="2276132E" w:rsidR="00765D97" w:rsidRPr="00876F81" w:rsidRDefault="00765D97" w:rsidP="00FF30E4">
            <w:pPr>
              <w:spacing w:line="240" w:lineRule="auto"/>
              <w:rPr>
                <w:b/>
              </w:rPr>
            </w:pPr>
            <w:r w:rsidRPr="00876F81">
              <w:rPr>
                <w:b/>
              </w:rPr>
              <w:t xml:space="preserve">Competitiveness of </w:t>
            </w:r>
            <w:r>
              <w:rPr>
                <w:b/>
              </w:rPr>
              <w:t xml:space="preserve">foreign trading partners </w:t>
            </w:r>
          </w:p>
        </w:tc>
      </w:tr>
      <w:tr w:rsidR="00765D97" w:rsidRPr="002463BA" w14:paraId="62B68994" w14:textId="77777777" w:rsidTr="008A4CB5">
        <w:tc>
          <w:tcPr>
            <w:tcW w:w="1511" w:type="dxa"/>
          </w:tcPr>
          <w:p w14:paraId="595A5ECE" w14:textId="77777777" w:rsidR="00765D97" w:rsidRPr="00876F81" w:rsidRDefault="00765D97" w:rsidP="00FF30E4">
            <w:pPr>
              <w:spacing w:line="240" w:lineRule="auto"/>
              <w:rPr>
                <w:b/>
              </w:rPr>
            </w:pPr>
            <w:r w:rsidRPr="00876F81">
              <w:rPr>
                <w:b/>
              </w:rPr>
              <w:t>Black</w:t>
            </w:r>
          </w:p>
        </w:tc>
        <w:tc>
          <w:tcPr>
            <w:tcW w:w="1861" w:type="dxa"/>
          </w:tcPr>
          <w:p w14:paraId="7AF3F11B" w14:textId="77777777" w:rsidR="00765D97" w:rsidRDefault="00765D97" w:rsidP="00FF30E4">
            <w:pPr>
              <w:spacing w:line="240" w:lineRule="auto"/>
            </w:pPr>
            <w:r>
              <w:t xml:space="preserve">High </w:t>
            </w:r>
          </w:p>
          <w:p w14:paraId="7B7584B4" w14:textId="77777777" w:rsidR="00765D97" w:rsidRPr="002463BA" w:rsidRDefault="00765D97" w:rsidP="00FF30E4">
            <w:pPr>
              <w:spacing w:line="240" w:lineRule="auto"/>
            </w:pPr>
          </w:p>
        </w:tc>
        <w:tc>
          <w:tcPr>
            <w:tcW w:w="2226" w:type="dxa"/>
          </w:tcPr>
          <w:p w14:paraId="6670DCCF" w14:textId="1926CE1A" w:rsidR="00765D97" w:rsidRPr="002463BA" w:rsidRDefault="00765D97" w:rsidP="00FF30E4">
            <w:pPr>
              <w:spacing w:line="240" w:lineRule="auto"/>
            </w:pPr>
            <w:r w:rsidRPr="002463BA">
              <w:t>Low</w:t>
            </w:r>
            <w:r w:rsidR="00340395">
              <w:t xml:space="preserve"> / </w:t>
            </w:r>
            <w:r w:rsidR="007E48E5">
              <w:t>750 PJ</w:t>
            </w:r>
          </w:p>
        </w:tc>
        <w:tc>
          <w:tcPr>
            <w:tcW w:w="1536" w:type="dxa"/>
          </w:tcPr>
          <w:p w14:paraId="1383EFA6" w14:textId="15F31994" w:rsidR="00765D97" w:rsidRDefault="00765D97" w:rsidP="00FF30E4">
            <w:pPr>
              <w:spacing w:line="240" w:lineRule="auto"/>
            </w:pPr>
            <w:r>
              <w:t>Low</w:t>
            </w:r>
          </w:p>
        </w:tc>
        <w:tc>
          <w:tcPr>
            <w:tcW w:w="2153" w:type="dxa"/>
          </w:tcPr>
          <w:p w14:paraId="12D3CEF0" w14:textId="42B77803" w:rsidR="00765D97" w:rsidRPr="002463BA" w:rsidRDefault="00765D97" w:rsidP="00FF30E4">
            <w:pPr>
              <w:spacing w:line="240" w:lineRule="auto"/>
            </w:pPr>
            <w:r>
              <w:t>High</w:t>
            </w:r>
            <w:r w:rsidRPr="002463BA">
              <w:t xml:space="preserve"> due to low level of abatement costs international</w:t>
            </w:r>
          </w:p>
        </w:tc>
      </w:tr>
      <w:tr w:rsidR="00765D97" w:rsidRPr="002463BA" w14:paraId="0BE30442" w14:textId="77777777" w:rsidTr="008A4CB5">
        <w:tc>
          <w:tcPr>
            <w:tcW w:w="1511" w:type="dxa"/>
          </w:tcPr>
          <w:p w14:paraId="0FC8DC0B" w14:textId="77777777" w:rsidR="00765D97" w:rsidRPr="00876F81" w:rsidRDefault="00765D97" w:rsidP="00FF30E4">
            <w:pPr>
              <w:spacing w:line="240" w:lineRule="auto"/>
              <w:rPr>
                <w:b/>
              </w:rPr>
            </w:pPr>
            <w:r w:rsidRPr="00876F81">
              <w:rPr>
                <w:b/>
              </w:rPr>
              <w:t>Reference</w:t>
            </w:r>
          </w:p>
        </w:tc>
        <w:tc>
          <w:tcPr>
            <w:tcW w:w="1861" w:type="dxa"/>
          </w:tcPr>
          <w:p w14:paraId="27AE4D57" w14:textId="77777777" w:rsidR="00765D97" w:rsidRPr="002463BA" w:rsidRDefault="00765D97" w:rsidP="00FF30E4">
            <w:pPr>
              <w:spacing w:line="240" w:lineRule="auto"/>
            </w:pPr>
            <w:r w:rsidRPr="002463BA">
              <w:t>New policy</w:t>
            </w:r>
          </w:p>
        </w:tc>
        <w:tc>
          <w:tcPr>
            <w:tcW w:w="2226" w:type="dxa"/>
          </w:tcPr>
          <w:p w14:paraId="64D9D70C" w14:textId="00F3E0EC" w:rsidR="00765D97" w:rsidRPr="002463BA" w:rsidRDefault="00765D97" w:rsidP="00FF30E4">
            <w:pPr>
              <w:spacing w:line="240" w:lineRule="auto"/>
            </w:pPr>
            <w:r w:rsidRPr="002463BA">
              <w:t>Reference level</w:t>
            </w:r>
            <w:r w:rsidR="00340395">
              <w:t xml:space="preserve"> / 250 PJ</w:t>
            </w:r>
          </w:p>
        </w:tc>
        <w:tc>
          <w:tcPr>
            <w:tcW w:w="1536" w:type="dxa"/>
          </w:tcPr>
          <w:p w14:paraId="154E281C" w14:textId="2A28FEEF" w:rsidR="00765D97" w:rsidRPr="002463BA" w:rsidRDefault="00765D97" w:rsidP="00FF30E4">
            <w:pPr>
              <w:spacing w:line="240" w:lineRule="auto"/>
            </w:pPr>
            <w:r>
              <w:t>New policy</w:t>
            </w:r>
          </w:p>
        </w:tc>
        <w:tc>
          <w:tcPr>
            <w:tcW w:w="2153" w:type="dxa"/>
          </w:tcPr>
          <w:p w14:paraId="141BDC66" w14:textId="478D5DA4" w:rsidR="00765D97" w:rsidRPr="002463BA" w:rsidRDefault="00765D97" w:rsidP="00FF30E4">
            <w:pPr>
              <w:spacing w:line="240" w:lineRule="auto"/>
            </w:pPr>
            <w:r w:rsidRPr="002463BA">
              <w:t>Reference level</w:t>
            </w:r>
          </w:p>
        </w:tc>
      </w:tr>
      <w:tr w:rsidR="00765D97" w:rsidRPr="002463BA" w14:paraId="448FF6AD" w14:textId="77777777" w:rsidTr="008A4CB5">
        <w:trPr>
          <w:trHeight w:val="426"/>
        </w:trPr>
        <w:tc>
          <w:tcPr>
            <w:tcW w:w="1511" w:type="dxa"/>
          </w:tcPr>
          <w:p w14:paraId="1F270B3B" w14:textId="77777777" w:rsidR="00765D97" w:rsidRPr="00876F81" w:rsidRDefault="00765D97" w:rsidP="00FF30E4">
            <w:pPr>
              <w:spacing w:line="240" w:lineRule="auto"/>
              <w:rPr>
                <w:b/>
              </w:rPr>
            </w:pPr>
            <w:r w:rsidRPr="00876F81">
              <w:rPr>
                <w:b/>
              </w:rPr>
              <w:t>Green</w:t>
            </w:r>
          </w:p>
        </w:tc>
        <w:tc>
          <w:tcPr>
            <w:tcW w:w="1861" w:type="dxa"/>
          </w:tcPr>
          <w:p w14:paraId="37E69334" w14:textId="77777777" w:rsidR="00765D97" w:rsidRPr="002463BA" w:rsidRDefault="00765D97" w:rsidP="00FF30E4">
            <w:pPr>
              <w:spacing w:line="240" w:lineRule="auto"/>
            </w:pPr>
            <w:r>
              <w:t xml:space="preserve">Low </w:t>
            </w:r>
          </w:p>
        </w:tc>
        <w:tc>
          <w:tcPr>
            <w:tcW w:w="2226" w:type="dxa"/>
          </w:tcPr>
          <w:p w14:paraId="23A9F148" w14:textId="3871CDE0" w:rsidR="00765D97" w:rsidRDefault="00765D97" w:rsidP="00FF30E4">
            <w:pPr>
              <w:spacing w:line="240" w:lineRule="auto"/>
            </w:pPr>
            <w:commentRangeStart w:id="10"/>
            <w:r w:rsidRPr="002463BA">
              <w:t>High</w:t>
            </w:r>
            <w:r w:rsidR="00340395">
              <w:t xml:space="preserve"> / 200 PJ</w:t>
            </w:r>
            <w:commentRangeEnd w:id="10"/>
            <w:r w:rsidR="007E48E5">
              <w:rPr>
                <w:rStyle w:val="Kommentarhenvisning"/>
              </w:rPr>
              <w:commentReference w:id="10"/>
            </w:r>
          </w:p>
          <w:p w14:paraId="499A2442" w14:textId="77777777" w:rsidR="00765D97" w:rsidRPr="002463BA" w:rsidRDefault="00765D97" w:rsidP="00FF30E4">
            <w:pPr>
              <w:spacing w:line="240" w:lineRule="auto"/>
            </w:pPr>
          </w:p>
        </w:tc>
        <w:tc>
          <w:tcPr>
            <w:tcW w:w="1536" w:type="dxa"/>
          </w:tcPr>
          <w:p w14:paraId="38B644C5" w14:textId="01C8EB33" w:rsidR="00765D97" w:rsidRDefault="00765D97" w:rsidP="00FF30E4">
            <w:pPr>
              <w:spacing w:line="240" w:lineRule="auto"/>
            </w:pPr>
            <w:r>
              <w:t>High</w:t>
            </w:r>
          </w:p>
        </w:tc>
        <w:tc>
          <w:tcPr>
            <w:tcW w:w="2153" w:type="dxa"/>
          </w:tcPr>
          <w:p w14:paraId="396DCE4B" w14:textId="7265713E" w:rsidR="00765D97" w:rsidRPr="002463BA" w:rsidRDefault="00765D97" w:rsidP="00FF30E4">
            <w:pPr>
              <w:spacing w:line="240" w:lineRule="auto"/>
            </w:pPr>
            <w:r>
              <w:t xml:space="preserve">Low, </w:t>
            </w:r>
            <w:r w:rsidRPr="002463BA">
              <w:t>due to high level of abatement costs international</w:t>
            </w:r>
          </w:p>
        </w:tc>
      </w:tr>
    </w:tbl>
    <w:p w14:paraId="5B1B45A3" w14:textId="77777777" w:rsidR="00FF30E4" w:rsidRDefault="00FF30E4" w:rsidP="00DD6E96">
      <w:pPr>
        <w:tabs>
          <w:tab w:val="left" w:pos="1380"/>
        </w:tabs>
      </w:pPr>
    </w:p>
    <w:p w14:paraId="67E009EA" w14:textId="77777777" w:rsidR="00135E12" w:rsidRDefault="00393C43" w:rsidP="00DD6E96">
      <w:pPr>
        <w:tabs>
          <w:tab w:val="left" w:pos="1380"/>
        </w:tabs>
      </w:pPr>
      <w:r>
        <w:t xml:space="preserve">The competitiveness of foreign trading partners is a particularly difficult topic, which can be handled in several ways. </w:t>
      </w:r>
    </w:p>
    <w:p w14:paraId="456D230A" w14:textId="77777777" w:rsidR="00135E12" w:rsidRDefault="00135E12" w:rsidP="00DD6E96">
      <w:pPr>
        <w:tabs>
          <w:tab w:val="left" w:pos="1380"/>
        </w:tabs>
      </w:pPr>
    </w:p>
    <w:p w14:paraId="5FF46A4E" w14:textId="77777777" w:rsidR="00135E12" w:rsidRDefault="00135E12" w:rsidP="00DD6E96">
      <w:pPr>
        <w:tabs>
          <w:tab w:val="left" w:pos="1380"/>
        </w:tabs>
      </w:pPr>
      <w:r>
        <w:t xml:space="preserve">The simplest solution is to vary the </w:t>
      </w:r>
      <w:proofErr w:type="spellStart"/>
      <w:r>
        <w:t>Armington</w:t>
      </w:r>
      <w:proofErr w:type="spellEnd"/>
      <w:r>
        <w:t xml:space="preserve"> elasticities for international trade, so that the effect on the Danish competitiveness can be dampened or increased according to the assum</w:t>
      </w:r>
      <w:r>
        <w:t>p</w:t>
      </w:r>
      <w:r>
        <w:t xml:space="preserve">tions on the impact on foreign energy policy. </w:t>
      </w:r>
    </w:p>
    <w:p w14:paraId="7B4056DD" w14:textId="77777777" w:rsidR="00135E12" w:rsidRDefault="00135E12" w:rsidP="00DD6E96">
      <w:pPr>
        <w:tabs>
          <w:tab w:val="left" w:pos="1380"/>
        </w:tabs>
      </w:pPr>
    </w:p>
    <w:p w14:paraId="06E601CA" w14:textId="3E9F2AF9" w:rsidR="00135E12" w:rsidRDefault="00135E12" w:rsidP="00DD6E96">
      <w:pPr>
        <w:tabs>
          <w:tab w:val="left" w:pos="1380"/>
        </w:tabs>
      </w:pPr>
      <w:r>
        <w:t>Another solution is to find some estimate on foreign energy policy cost and add this to the production costs of foreign goods with which Danish firms compete. This latter option can be implemented in various degrees of precision, as the current model operate with only one se</w:t>
      </w:r>
      <w:r>
        <w:t>c</w:t>
      </w:r>
      <w:r>
        <w:t xml:space="preserve">tor wide level of foreign production costs changes (i.e. German energy policy affect the cost of German service production in the same proportion as the production of machinery – which is not entirely realistic). </w:t>
      </w:r>
    </w:p>
    <w:p w14:paraId="6FC04169" w14:textId="77777777" w:rsidR="00393C43" w:rsidRPr="008A4CB5" w:rsidRDefault="00393C43" w:rsidP="00DD6E96">
      <w:pPr>
        <w:tabs>
          <w:tab w:val="left" w:pos="1380"/>
        </w:tabs>
      </w:pPr>
    </w:p>
    <w:p w14:paraId="29D85E87" w14:textId="43F73732" w:rsidR="007E1309" w:rsidRPr="008A4CB5" w:rsidRDefault="007E1309" w:rsidP="00DD6E96">
      <w:pPr>
        <w:tabs>
          <w:tab w:val="left" w:pos="1380"/>
        </w:tabs>
        <w:rPr>
          <w:b/>
          <w:lang w:val="en-US"/>
        </w:rPr>
      </w:pPr>
      <w:r>
        <w:rPr>
          <w:b/>
          <w:lang w:val="en-US"/>
        </w:rPr>
        <w:t xml:space="preserve">International prices of </w:t>
      </w:r>
      <w:r w:rsidR="007121D1">
        <w:rPr>
          <w:b/>
          <w:lang w:val="en-US"/>
        </w:rPr>
        <w:t xml:space="preserve">fossil </w:t>
      </w:r>
      <w:r>
        <w:rPr>
          <w:b/>
          <w:lang w:val="en-US"/>
        </w:rPr>
        <w:t xml:space="preserve">fuels </w:t>
      </w:r>
    </w:p>
    <w:p w14:paraId="716904A0" w14:textId="3DD1CF96" w:rsidR="00DD6E96" w:rsidRDefault="00DD6E96" w:rsidP="00DD6E96">
      <w:pPr>
        <w:tabs>
          <w:tab w:val="left" w:pos="1380"/>
        </w:tabs>
        <w:rPr>
          <w:lang w:val="en-US"/>
        </w:rPr>
      </w:pPr>
      <w:r>
        <w:rPr>
          <w:lang w:val="en-US"/>
        </w:rPr>
        <w:t>In order to reduce the complexity of the regimes two key price drivers/determinants are co</w:t>
      </w:r>
      <w:r>
        <w:rPr>
          <w:lang w:val="en-US"/>
        </w:rPr>
        <w:t>n</w:t>
      </w:r>
      <w:r>
        <w:rPr>
          <w:lang w:val="en-US"/>
        </w:rPr>
        <w:t>sidered:</w:t>
      </w:r>
    </w:p>
    <w:p w14:paraId="00DC02FF" w14:textId="77777777" w:rsidR="00DD6E96" w:rsidRPr="00630351" w:rsidRDefault="00DD6E96" w:rsidP="00DD6E96">
      <w:pPr>
        <w:pStyle w:val="Listeafsnit"/>
        <w:numPr>
          <w:ilvl w:val="0"/>
          <w:numId w:val="9"/>
        </w:numPr>
        <w:tabs>
          <w:tab w:val="left" w:pos="720"/>
          <w:tab w:val="left" w:pos="1380"/>
        </w:tabs>
        <w:spacing w:line="288" w:lineRule="auto"/>
        <w:rPr>
          <w:lang w:val="en-US"/>
        </w:rPr>
      </w:pPr>
      <w:r w:rsidRPr="00630351">
        <w:rPr>
          <w:lang w:val="en-US"/>
        </w:rPr>
        <w:t>Climate policies</w:t>
      </w:r>
    </w:p>
    <w:p w14:paraId="136B97C1" w14:textId="77777777" w:rsidR="00DD6E96" w:rsidRPr="00630351" w:rsidRDefault="00DD6E96" w:rsidP="00DD6E96">
      <w:pPr>
        <w:pStyle w:val="Listeafsnit"/>
        <w:numPr>
          <w:ilvl w:val="0"/>
          <w:numId w:val="9"/>
        </w:numPr>
        <w:tabs>
          <w:tab w:val="left" w:pos="720"/>
          <w:tab w:val="left" w:pos="1380"/>
        </w:tabs>
        <w:spacing w:line="288" w:lineRule="auto"/>
        <w:rPr>
          <w:lang w:val="en-US"/>
        </w:rPr>
      </w:pPr>
      <w:r w:rsidRPr="00630351">
        <w:rPr>
          <w:lang w:val="en-US"/>
        </w:rPr>
        <w:t>Market factors</w:t>
      </w:r>
    </w:p>
    <w:p w14:paraId="3AAA6BFB" w14:textId="77777777" w:rsidR="00AA1BD7" w:rsidRDefault="00AA1BD7" w:rsidP="002463BA">
      <w:pPr>
        <w:rPr>
          <w:lang w:val="en-US"/>
        </w:rPr>
      </w:pPr>
    </w:p>
    <w:p w14:paraId="36FD5D84" w14:textId="4D15EDFE" w:rsidR="00AA1BD7" w:rsidRPr="008A4CB5" w:rsidRDefault="00AA1BD7" w:rsidP="002463BA">
      <w:pPr>
        <w:rPr>
          <w:b/>
          <w:lang w:val="en-US"/>
        </w:rPr>
      </w:pPr>
      <w:r w:rsidRPr="008A4CB5">
        <w:rPr>
          <w:b/>
          <w:lang w:val="en-US"/>
        </w:rPr>
        <w:t>Climate policy</w:t>
      </w:r>
    </w:p>
    <w:p w14:paraId="753DC63B" w14:textId="7D904E1E" w:rsidR="00AA1BD7" w:rsidRDefault="00AA1BD7" w:rsidP="00AA1BD7">
      <w:pPr>
        <w:rPr>
          <w:lang w:val="en-US"/>
        </w:rPr>
      </w:pPr>
      <w:r w:rsidRPr="00AA1BD7">
        <w:rPr>
          <w:lang w:val="en-US"/>
        </w:rPr>
        <w:t xml:space="preserve">IEA WEO Current Policies (‘high’ price) and 450 (‘low’ price) </w:t>
      </w:r>
      <w:r w:rsidR="00AC21BE">
        <w:rPr>
          <w:lang w:val="en-US"/>
        </w:rPr>
        <w:t xml:space="preserve">fossil fuel regimes </w:t>
      </w:r>
      <w:r w:rsidRPr="00AA1BD7">
        <w:rPr>
          <w:lang w:val="en-US"/>
        </w:rPr>
        <w:t>are the b</w:t>
      </w:r>
      <w:r w:rsidRPr="00AA1BD7">
        <w:rPr>
          <w:lang w:val="en-US"/>
        </w:rPr>
        <w:t>a</w:t>
      </w:r>
      <w:r w:rsidRPr="00AA1BD7">
        <w:rPr>
          <w:lang w:val="en-US"/>
        </w:rPr>
        <w:t>sis for the alternative development pathways in terms of climate policies alongside the central New Policies scenario. All of the WEO scenario projections operate under the assumption of long-term equilibrium subject to fundamental supply and demand dynamics, i.e. effects of short-term market volatility and fluctuations are not a part of the price pathways of the sens</w:t>
      </w:r>
      <w:r w:rsidRPr="00AA1BD7">
        <w:rPr>
          <w:lang w:val="en-US"/>
        </w:rPr>
        <w:t>i</w:t>
      </w:r>
      <w:r w:rsidRPr="00AA1BD7">
        <w:rPr>
          <w:lang w:val="en-US"/>
        </w:rPr>
        <w:t xml:space="preserve">tivity analysis. </w:t>
      </w:r>
    </w:p>
    <w:p w14:paraId="63B03697" w14:textId="77777777" w:rsidR="00AA1BD7" w:rsidRPr="00AA1BD7" w:rsidRDefault="00AA1BD7" w:rsidP="00AA1BD7">
      <w:pPr>
        <w:rPr>
          <w:lang w:val="en-US"/>
        </w:rPr>
      </w:pPr>
    </w:p>
    <w:p w14:paraId="5DEAB6A6" w14:textId="43F1656B" w:rsidR="00AA1BD7" w:rsidRDefault="00AA1BD7" w:rsidP="00AA1BD7">
      <w:pPr>
        <w:rPr>
          <w:lang w:val="en-US"/>
        </w:rPr>
      </w:pPr>
      <w:r w:rsidRPr="00AA1BD7">
        <w:rPr>
          <w:lang w:val="en-US"/>
        </w:rPr>
        <w:t>The IEA WEO Current Policies scenario only takes into account the policies and measures a</w:t>
      </w:r>
      <w:r w:rsidRPr="00AA1BD7">
        <w:rPr>
          <w:lang w:val="en-US"/>
        </w:rPr>
        <w:t>f</w:t>
      </w:r>
      <w:r w:rsidRPr="00AA1BD7">
        <w:rPr>
          <w:lang w:val="en-US"/>
        </w:rPr>
        <w:t>fecting the energy markets that have been formally enacted (i.e. no further policies or measures with regard to the energy markets are implemented above and beyond those active currently). As such, Current Policies places fewer limitations on the use of fossil fuels as compared to e.g. the central scenario, New Policies scenario) thereby increasing demand and consequently prices.</w:t>
      </w:r>
    </w:p>
    <w:p w14:paraId="7A2B311E" w14:textId="77777777" w:rsidR="00AA1BD7" w:rsidRPr="00AA1BD7" w:rsidRDefault="00AA1BD7" w:rsidP="00AA1BD7">
      <w:pPr>
        <w:rPr>
          <w:lang w:val="en-US"/>
        </w:rPr>
      </w:pPr>
    </w:p>
    <w:p w14:paraId="2B30FCAF" w14:textId="133B2707" w:rsidR="00DD6E96" w:rsidRDefault="00AA1BD7" w:rsidP="00AA1BD7">
      <w:pPr>
        <w:rPr>
          <w:lang w:val="en-US"/>
        </w:rPr>
      </w:pPr>
      <w:r w:rsidRPr="00AA1BD7">
        <w:rPr>
          <w:lang w:val="en-US"/>
        </w:rPr>
        <w:t>The 450 Scenario of the IEA WEO implies much lower use and demand (and consequently prices) of fossil fuels due to its assumption of full implementation of the 2010 UN Climate Change Conference commitments (a.k.a. the Cancun Agreements) in the period up to 2020. For the period after 2020, the 450 Scenario assumes that the OECD countries and oth</w:t>
      </w:r>
      <w:r>
        <w:rPr>
          <w:lang w:val="en-US"/>
        </w:rPr>
        <w:t>er major econo</w:t>
      </w:r>
      <w:r w:rsidRPr="00AA1BD7">
        <w:rPr>
          <w:lang w:val="en-US"/>
        </w:rPr>
        <w:t>mies are implementing emission reduction measures both within and outside of OECD.</w:t>
      </w:r>
    </w:p>
    <w:p w14:paraId="5F54E852" w14:textId="77777777" w:rsidR="00AA1BD7" w:rsidRDefault="00AA1BD7" w:rsidP="00AA1BD7">
      <w:pPr>
        <w:rPr>
          <w:lang w:val="en-US"/>
        </w:rPr>
      </w:pPr>
    </w:p>
    <w:p w14:paraId="57617525" w14:textId="04D57367" w:rsidR="00AA1BD7" w:rsidRDefault="00AA1BD7" w:rsidP="00AA1BD7">
      <w:pPr>
        <w:rPr>
          <w:b/>
          <w:lang w:val="en-US"/>
        </w:rPr>
      </w:pPr>
      <w:r>
        <w:rPr>
          <w:b/>
          <w:lang w:val="en-US"/>
        </w:rPr>
        <w:t>Market factors</w:t>
      </w:r>
    </w:p>
    <w:p w14:paraId="7628C773" w14:textId="3A637D0E" w:rsidR="00AA1BD7" w:rsidRPr="008A4CB5" w:rsidRDefault="00AA1BD7" w:rsidP="00AA1BD7">
      <w:pPr>
        <w:rPr>
          <w:lang w:val="en-US"/>
        </w:rPr>
      </w:pPr>
      <w:r w:rsidRPr="008A4CB5">
        <w:rPr>
          <w:lang w:val="en-US"/>
        </w:rPr>
        <w:t>EIA Annual Energy Outlook serves as the basis for input on the alternative development pathways in terms of market factors for crude oil and coal. It should be noted that the EIA AEO scenarios have been chosen in such a way that they would only entail changes in the market factors whilst climate policy measures would remain unaltered.</w:t>
      </w:r>
    </w:p>
    <w:p w14:paraId="1578766C" w14:textId="77777777" w:rsidR="00AA1BD7" w:rsidRPr="008A4CB5" w:rsidRDefault="00AA1BD7" w:rsidP="00AA1BD7">
      <w:pPr>
        <w:rPr>
          <w:lang w:val="en-US"/>
        </w:rPr>
      </w:pPr>
    </w:p>
    <w:p w14:paraId="4963D970" w14:textId="77777777" w:rsidR="00AA1BD7" w:rsidRPr="008A4CB5" w:rsidRDefault="00AA1BD7" w:rsidP="00AA1BD7">
      <w:pPr>
        <w:rPr>
          <w:lang w:val="en-US"/>
        </w:rPr>
      </w:pPr>
      <w:r w:rsidRPr="008A4CB5">
        <w:rPr>
          <w:lang w:val="en-US"/>
        </w:rPr>
        <w:t>A different approach has been applied in the case of natural gas because the natural gas ma</w:t>
      </w:r>
      <w:r w:rsidRPr="008A4CB5">
        <w:rPr>
          <w:lang w:val="en-US"/>
        </w:rPr>
        <w:t>r</w:t>
      </w:r>
      <w:r w:rsidRPr="008A4CB5">
        <w:rPr>
          <w:lang w:val="en-US"/>
        </w:rPr>
        <w:t xml:space="preserve">kets are very regional - it would thus be inadequate to use the US-focused EIA AEO scenarios to model the market factors for the European natural gas price projections. </w:t>
      </w:r>
    </w:p>
    <w:p w14:paraId="50D7E0BC" w14:textId="16996D1D" w:rsidR="00AA1BD7" w:rsidRDefault="00AA1BD7" w:rsidP="00AA1BD7">
      <w:pPr>
        <w:rPr>
          <w:lang w:val="en-US"/>
        </w:rPr>
      </w:pPr>
      <w:r w:rsidRPr="008A4CB5">
        <w:rPr>
          <w:lang w:val="en-US"/>
        </w:rPr>
        <w:t>For the ‘low’ price scenario, the Gas Price Convergence Case for Europe from the IEA WEO 2013 is used, whereas oil price-indexing is used for the ‘high’ price scenario.</w:t>
      </w:r>
    </w:p>
    <w:p w14:paraId="042B96C0" w14:textId="77777777" w:rsidR="007E1309" w:rsidRDefault="007E1309" w:rsidP="00AA1BD7">
      <w:pPr>
        <w:rPr>
          <w:lang w:val="en-US"/>
        </w:rPr>
      </w:pPr>
    </w:p>
    <w:p w14:paraId="06FD292A" w14:textId="77777777" w:rsidR="007E1309" w:rsidRDefault="007E1309" w:rsidP="007E1309">
      <w:pPr>
        <w:tabs>
          <w:tab w:val="left" w:pos="1380"/>
        </w:tabs>
        <w:rPr>
          <w:lang w:val="en-US"/>
        </w:rPr>
      </w:pPr>
      <w:r>
        <w:rPr>
          <w:lang w:val="en-US"/>
        </w:rPr>
        <w:t xml:space="preserve">Several important assumptions are being made: </w:t>
      </w:r>
    </w:p>
    <w:p w14:paraId="3920E289" w14:textId="77777777" w:rsidR="007E1309" w:rsidRDefault="007E1309" w:rsidP="007E1309">
      <w:pPr>
        <w:tabs>
          <w:tab w:val="left" w:pos="1380"/>
        </w:tabs>
        <w:rPr>
          <w:lang w:val="en-US"/>
        </w:rPr>
      </w:pPr>
    </w:p>
    <w:p w14:paraId="3D9F770A" w14:textId="77777777" w:rsidR="007E1309" w:rsidRDefault="007E1309" w:rsidP="007E1309">
      <w:pPr>
        <w:pStyle w:val="Listeafsnit"/>
        <w:numPr>
          <w:ilvl w:val="0"/>
          <w:numId w:val="10"/>
        </w:numPr>
        <w:tabs>
          <w:tab w:val="left" w:pos="720"/>
          <w:tab w:val="left" w:pos="1380"/>
        </w:tabs>
        <w:spacing w:line="288" w:lineRule="auto"/>
        <w:rPr>
          <w:lang w:val="en-US"/>
        </w:rPr>
      </w:pPr>
      <w:r>
        <w:rPr>
          <w:lang w:val="en-US"/>
        </w:rPr>
        <w:t xml:space="preserve">The mechanisms employed and price effects brought about by climate policy scenarios and market factor scenarios have some commonalities, i.e. they are </w:t>
      </w:r>
      <w:r>
        <w:rPr>
          <w:i/>
          <w:lang w:val="en-US"/>
        </w:rPr>
        <w:t>not</w:t>
      </w:r>
      <w:r>
        <w:rPr>
          <w:lang w:val="en-US"/>
        </w:rPr>
        <w:t xml:space="preserve"> fully compl</w:t>
      </w:r>
      <w:r>
        <w:rPr>
          <w:lang w:val="en-US"/>
        </w:rPr>
        <w:t>i</w:t>
      </w:r>
      <w:r>
        <w:rPr>
          <w:lang w:val="en-US"/>
        </w:rPr>
        <w:t>mentary to each other.</w:t>
      </w:r>
    </w:p>
    <w:p w14:paraId="29A6893C" w14:textId="77777777" w:rsidR="007E1309" w:rsidRDefault="007E1309" w:rsidP="007E1309">
      <w:pPr>
        <w:pStyle w:val="Listeafsnit"/>
        <w:numPr>
          <w:ilvl w:val="0"/>
          <w:numId w:val="10"/>
        </w:numPr>
        <w:tabs>
          <w:tab w:val="left" w:pos="720"/>
          <w:tab w:val="left" w:pos="1380"/>
        </w:tabs>
        <w:spacing w:line="288" w:lineRule="auto"/>
        <w:rPr>
          <w:lang w:val="en-US"/>
        </w:rPr>
      </w:pPr>
      <w:r>
        <w:rPr>
          <w:lang w:val="en-US"/>
        </w:rPr>
        <w:t>The quantification of the price effect of each individual factor underlying the climate policies or market developments modelled is beyond the scope of the current analysis. A straight-forward approach of equal 50-50 weighting will be used when combining price projections of different scenario development frameworks (e.g. IEA WEO and EIA AEO) to account both for climate policy effect and market factor impact, respe</w:t>
      </w:r>
      <w:r>
        <w:rPr>
          <w:lang w:val="en-US"/>
        </w:rPr>
        <w:t>c</w:t>
      </w:r>
      <w:r>
        <w:rPr>
          <w:lang w:val="en-US"/>
        </w:rPr>
        <w:t xml:space="preserve">tively. </w:t>
      </w:r>
      <w:r w:rsidRPr="000B4BCF">
        <w:rPr>
          <w:lang w:val="en-US"/>
        </w:rPr>
        <w:t>This is also done to make sure that the ‘high’ and ‘low’ scenarios hereby o</w:t>
      </w:r>
      <w:r w:rsidRPr="000B4BCF">
        <w:rPr>
          <w:lang w:val="en-US"/>
        </w:rPr>
        <w:t>b</w:t>
      </w:r>
      <w:r w:rsidRPr="000B4BCF">
        <w:rPr>
          <w:lang w:val="en-US"/>
        </w:rPr>
        <w:t xml:space="preserve">tained would be representing </w:t>
      </w:r>
      <w:r>
        <w:rPr>
          <w:lang w:val="en-US"/>
        </w:rPr>
        <w:t xml:space="preserve">possible yet not </w:t>
      </w:r>
      <w:r w:rsidRPr="000B4BCF">
        <w:rPr>
          <w:lang w:val="en-US"/>
        </w:rPr>
        <w:t>extreme potential price development pathways</w:t>
      </w:r>
      <w:r>
        <w:rPr>
          <w:lang w:val="en-US"/>
        </w:rPr>
        <w:t>.</w:t>
      </w:r>
    </w:p>
    <w:p w14:paraId="1742FD13" w14:textId="77777777" w:rsidR="007E1309" w:rsidRDefault="007E1309" w:rsidP="00AA1BD7">
      <w:pPr>
        <w:rPr>
          <w:lang w:val="en-US"/>
        </w:rPr>
      </w:pPr>
    </w:p>
    <w:p w14:paraId="14A39AC4" w14:textId="7E0D5DF0" w:rsidR="00AC21BE" w:rsidRPr="00393C43" w:rsidRDefault="00AC21BE" w:rsidP="00AC21BE">
      <w:pPr>
        <w:tabs>
          <w:tab w:val="left" w:pos="1380"/>
        </w:tabs>
        <w:rPr>
          <w:b/>
          <w:lang w:val="en-US"/>
        </w:rPr>
      </w:pPr>
      <w:r w:rsidRPr="00393C43">
        <w:rPr>
          <w:b/>
          <w:lang w:val="en-US"/>
        </w:rPr>
        <w:t>International prices of biomass</w:t>
      </w:r>
    </w:p>
    <w:p w14:paraId="263BEF7E" w14:textId="26D7AB27" w:rsidR="002463BA" w:rsidRPr="00393C43" w:rsidRDefault="00FA438A" w:rsidP="002463BA">
      <w:pPr>
        <w:rPr>
          <w:highlight w:val="yellow"/>
        </w:rPr>
      </w:pPr>
      <w:r w:rsidRPr="00393C43">
        <w:t xml:space="preserve">To account for </w:t>
      </w:r>
      <w:proofErr w:type="spellStart"/>
      <w:r w:rsidRPr="00393C43">
        <w:t>RoW</w:t>
      </w:r>
      <w:proofErr w:type="spellEnd"/>
      <w:r w:rsidRPr="00393C43">
        <w:t xml:space="preserve"> energy policies, we try to develop three "</w:t>
      </w:r>
      <w:proofErr w:type="spellStart"/>
      <w:r w:rsidRPr="00393C43">
        <w:t>RoW</w:t>
      </w:r>
      <w:proofErr w:type="spellEnd"/>
      <w:r w:rsidRPr="00393C43">
        <w:t xml:space="preserve"> regimes" which are </w:t>
      </w:r>
      <w:proofErr w:type="gramStart"/>
      <w:r w:rsidRPr="00393C43">
        <w:t>i</w:t>
      </w:r>
      <w:r w:rsidRPr="00393C43">
        <w:t>n</w:t>
      </w:r>
      <w:r w:rsidRPr="00393C43">
        <w:t>tend</w:t>
      </w:r>
      <w:proofErr w:type="gramEnd"/>
      <w:r w:rsidRPr="00393C43">
        <w:t xml:space="preserve"> to capture the most important effects of </w:t>
      </w:r>
      <w:proofErr w:type="spellStart"/>
      <w:r w:rsidRPr="00393C43">
        <w:t>RoW</w:t>
      </w:r>
      <w:proofErr w:type="spellEnd"/>
      <w:r w:rsidRPr="00393C43">
        <w:t xml:space="preserve"> energy policies.</w:t>
      </w:r>
      <w:r w:rsidR="00393C43">
        <w:t xml:space="preserve"> The regimes are based on </w:t>
      </w:r>
      <w:proofErr w:type="spellStart"/>
      <w:r w:rsidR="00393C43">
        <w:t>Ea</w:t>
      </w:r>
      <w:proofErr w:type="spellEnd"/>
      <w:r w:rsidR="00393C43">
        <w:t xml:space="preserve"> </w:t>
      </w:r>
      <w:proofErr w:type="spellStart"/>
      <w:r w:rsidR="00393C43">
        <w:t>Energianalyse</w:t>
      </w:r>
      <w:proofErr w:type="spellEnd"/>
      <w:r w:rsidR="00A0668A">
        <w:t xml:space="preserve"> (2013)</w:t>
      </w:r>
      <w:r w:rsidR="00393C43">
        <w:rPr>
          <w:rStyle w:val="Fodnotehenvisning"/>
        </w:rPr>
        <w:footnoteReference w:id="1"/>
      </w:r>
      <w:r w:rsidR="00393C43">
        <w:t xml:space="preserve">, which </w:t>
      </w:r>
      <w:proofErr w:type="gramStart"/>
      <w:r w:rsidR="00393C43">
        <w:t>provide</w:t>
      </w:r>
      <w:proofErr w:type="gramEnd"/>
      <w:r w:rsidR="00393C43">
        <w:t xml:space="preserve"> international prices of biomass under various sc</w:t>
      </w:r>
      <w:r w:rsidR="00393C43">
        <w:t>e</w:t>
      </w:r>
      <w:r w:rsidR="00393C43">
        <w:t>narios. However, adjustments will be made to the low-price scenario, where the assumptions might be considered too extreme.</w:t>
      </w:r>
    </w:p>
    <w:p w14:paraId="70E71BF0" w14:textId="1F7AF7D6" w:rsidR="0090466A" w:rsidRPr="00393C43" w:rsidRDefault="0090466A" w:rsidP="002463BA">
      <w:pPr>
        <w:spacing w:line="240" w:lineRule="auto"/>
        <w:rPr>
          <w:highlight w:val="yellow"/>
        </w:rPr>
      </w:pPr>
    </w:p>
    <w:p w14:paraId="1B7FC30B" w14:textId="3B5DDAEC" w:rsidR="00FA438A" w:rsidRPr="00A0668A" w:rsidRDefault="00FA438A" w:rsidP="00FA438A">
      <w:pPr>
        <w:pStyle w:val="Overskrift2"/>
      </w:pPr>
      <w:bookmarkStart w:id="11" w:name="_Toc405293361"/>
      <w:r w:rsidRPr="00A0668A">
        <w:t>Challenges and assumptions</w:t>
      </w:r>
      <w:r w:rsidR="00B405DA" w:rsidRPr="00A0668A">
        <w:t xml:space="preserve"> associated with </w:t>
      </w:r>
      <w:proofErr w:type="spellStart"/>
      <w:r w:rsidR="00B405DA" w:rsidRPr="00A0668A">
        <w:t>RoW</w:t>
      </w:r>
      <w:proofErr w:type="spellEnd"/>
      <w:r w:rsidR="00B405DA" w:rsidRPr="00A0668A">
        <w:t xml:space="preserve"> regimes</w:t>
      </w:r>
      <w:bookmarkEnd w:id="11"/>
    </w:p>
    <w:p w14:paraId="20203122" w14:textId="19DECFBE" w:rsidR="0006069E" w:rsidRPr="0006069E" w:rsidRDefault="0006069E" w:rsidP="00A0668A">
      <w:pPr>
        <w:rPr>
          <w:i/>
        </w:rPr>
      </w:pPr>
      <w:r w:rsidRPr="0006069E">
        <w:rPr>
          <w:i/>
        </w:rPr>
        <w:t>Scenario choice</w:t>
      </w:r>
    </w:p>
    <w:p w14:paraId="23B2D78B" w14:textId="77777777" w:rsidR="00A0668A" w:rsidRDefault="00A0668A" w:rsidP="00A0668A">
      <w:r w:rsidRPr="00A0668A">
        <w:lastRenderedPageBreak/>
        <w:t xml:space="preserve">The primary challenge of handling the possible </w:t>
      </w:r>
      <w:proofErr w:type="spellStart"/>
      <w:r w:rsidRPr="00A0668A">
        <w:t>RoW</w:t>
      </w:r>
      <w:proofErr w:type="spellEnd"/>
      <w:r w:rsidRPr="00A0668A">
        <w:t xml:space="preserve"> regimes surrounding Danish energy po</w:t>
      </w:r>
      <w:r w:rsidRPr="00A0668A">
        <w:t>l</w:t>
      </w:r>
      <w:r w:rsidRPr="00A0668A">
        <w:t>icy is the plethora of possible scenario combinations between various reference and altern</w:t>
      </w:r>
      <w:r w:rsidRPr="00A0668A">
        <w:t>a</w:t>
      </w:r>
      <w:r w:rsidRPr="00A0668A">
        <w:t>tive scenarios</w:t>
      </w:r>
      <w:r>
        <w:t xml:space="preserve">. </w:t>
      </w:r>
    </w:p>
    <w:p w14:paraId="6EF69DEC" w14:textId="77777777" w:rsidR="00A0668A" w:rsidRDefault="00A0668A" w:rsidP="00A0668A"/>
    <w:p w14:paraId="3ACDB2E3" w14:textId="6C3AEE40" w:rsidR="00A0668A" w:rsidRDefault="00A0668A" w:rsidP="00A0668A">
      <w:r>
        <w:t xml:space="preserve">There are two general "way outs" to this problem. One is to limit the number of scenarios as much as possible, especially the number of reference scenarios. Alternatively, the model should be able to handle in theory an arbitrary number of scenarios and references (though in practice the number of references should still be limited to a few). In practice, most of the technical model code does not distinguish between reference and alternative scenarios. For this reason, it is only a matter of simple presentation to </w:t>
      </w:r>
      <w:r w:rsidR="0006069E">
        <w:t>make relevant comparisons between selected scenarios and interpret the results as consequences of the chosen policy.</w:t>
      </w:r>
    </w:p>
    <w:p w14:paraId="2BD307C2" w14:textId="77777777" w:rsidR="0006069E" w:rsidRDefault="0006069E" w:rsidP="00A0668A"/>
    <w:p w14:paraId="59DD76B7" w14:textId="59EF8EAA" w:rsidR="0006069E" w:rsidRPr="0006069E" w:rsidRDefault="0006069E" w:rsidP="00A0668A">
      <w:pPr>
        <w:rPr>
          <w:i/>
        </w:rPr>
      </w:pPr>
      <w:r w:rsidRPr="0006069E">
        <w:rPr>
          <w:i/>
        </w:rPr>
        <w:t xml:space="preserve">Data on </w:t>
      </w:r>
      <w:proofErr w:type="spellStart"/>
      <w:r w:rsidRPr="0006069E">
        <w:rPr>
          <w:i/>
        </w:rPr>
        <w:t>RoW</w:t>
      </w:r>
      <w:proofErr w:type="spellEnd"/>
      <w:r w:rsidRPr="0006069E">
        <w:rPr>
          <w:i/>
        </w:rPr>
        <w:t xml:space="preserve"> assumptions</w:t>
      </w:r>
    </w:p>
    <w:p w14:paraId="206B449F" w14:textId="77777777" w:rsidR="0006069E" w:rsidRDefault="0006069E" w:rsidP="00A0668A">
      <w:r>
        <w:t xml:space="preserve">Another challenge is to acquire reasonable data on the energy policy cost of </w:t>
      </w:r>
      <w:proofErr w:type="spellStart"/>
      <w:r>
        <w:t>RoW</w:t>
      </w:r>
      <w:proofErr w:type="spellEnd"/>
      <w:r>
        <w:t xml:space="preserve">. One part of this problem is to distinguish between those of Denmark's trading partners who </w:t>
      </w:r>
      <w:proofErr w:type="gramStart"/>
      <w:r>
        <w:t>has</w:t>
      </w:r>
      <w:proofErr w:type="gramEnd"/>
      <w:r>
        <w:t xml:space="preserve"> commi</w:t>
      </w:r>
      <w:r>
        <w:t>t</w:t>
      </w:r>
      <w:r>
        <w:t>ted to greener energy policies, another part is to estimate the costs of those energy policies and transform these into changed competitiveness in the terms of the CGE model. It is poss</w:t>
      </w:r>
      <w:r>
        <w:t>i</w:t>
      </w:r>
      <w:r>
        <w:t xml:space="preserve">ble to some extent to use the so-called </w:t>
      </w:r>
      <w:proofErr w:type="spellStart"/>
      <w:r>
        <w:t>Armington</w:t>
      </w:r>
      <w:proofErr w:type="spellEnd"/>
      <w:r>
        <w:t xml:space="preserve"> elasticities for making sensitivity analyses on the magnitude of impact on Danish competitiveness. </w:t>
      </w:r>
    </w:p>
    <w:p w14:paraId="47160AB5" w14:textId="77777777" w:rsidR="0006069E" w:rsidRDefault="0006069E" w:rsidP="00A0668A"/>
    <w:p w14:paraId="13D47DEC" w14:textId="4E2349E3" w:rsidR="0006069E" w:rsidRDefault="0006069E" w:rsidP="00A0668A">
      <w:r>
        <w:t xml:space="preserve">However, one aspect missed by this </w:t>
      </w:r>
      <w:proofErr w:type="spellStart"/>
      <w:r>
        <w:t>Armington</w:t>
      </w:r>
      <w:proofErr w:type="spellEnd"/>
      <w:r>
        <w:t xml:space="preserve"> approach is that cases where Danish compet</w:t>
      </w:r>
      <w:r>
        <w:t>i</w:t>
      </w:r>
      <w:r>
        <w:t>tiveness might be increased due to relative large green energy policy costs of our closest tra</w:t>
      </w:r>
      <w:r>
        <w:t>d</w:t>
      </w:r>
      <w:r>
        <w:t>ing partners cannot be analysed. For this special case, an analysis where the cost of intern</w:t>
      </w:r>
      <w:r>
        <w:t>a</w:t>
      </w:r>
      <w:r>
        <w:t>tionally traded goods is raised can be used. Note though, that the CGE model presently cannot distinguish between different sectors when manipulating with the cost of internationally tra</w:t>
      </w:r>
      <w:r>
        <w:t>d</w:t>
      </w:r>
      <w:r>
        <w:t>ed goods and services.</w:t>
      </w:r>
    </w:p>
    <w:p w14:paraId="33142790" w14:textId="1A3BF065" w:rsidR="00393C43" w:rsidRDefault="00393C43">
      <w:pPr>
        <w:spacing w:line="240" w:lineRule="auto"/>
      </w:pPr>
      <w:r>
        <w:br w:type="page"/>
      </w:r>
    </w:p>
    <w:p w14:paraId="03EA8D87" w14:textId="1A2D4FE2" w:rsidR="002463BA" w:rsidRPr="002463BA" w:rsidRDefault="002463BA" w:rsidP="002463BA">
      <w:pPr>
        <w:pStyle w:val="Overskrift1"/>
      </w:pPr>
      <w:bookmarkStart w:id="12" w:name="_Toc405293362"/>
      <w:r w:rsidRPr="002463BA">
        <w:lastRenderedPageBreak/>
        <w:t>Base</w:t>
      </w:r>
      <w:r w:rsidR="00AC21BE">
        <w:t xml:space="preserve"> year</w:t>
      </w:r>
      <w:r w:rsidR="00FA438A">
        <w:t>, r</w:t>
      </w:r>
      <w:r w:rsidRPr="002463BA">
        <w:t xml:space="preserve">eference </w:t>
      </w:r>
      <w:r w:rsidR="00FA438A">
        <w:t xml:space="preserve">and alternative </w:t>
      </w:r>
      <w:r w:rsidRPr="002463BA">
        <w:t>scenarios</w:t>
      </w:r>
      <w:bookmarkEnd w:id="12"/>
    </w:p>
    <w:p w14:paraId="6D4047E3" w14:textId="77777777" w:rsidR="002463BA" w:rsidRDefault="002463BA" w:rsidP="00D70505">
      <w:pPr>
        <w:rPr>
          <w:b/>
        </w:rPr>
      </w:pPr>
    </w:p>
    <w:p w14:paraId="5612CBFF" w14:textId="06F9EA96" w:rsidR="002463BA" w:rsidRDefault="00FA438A" w:rsidP="00D70505">
      <w:pPr>
        <w:rPr>
          <w:b/>
        </w:rPr>
      </w:pPr>
      <w:r>
        <w:rPr>
          <w:b/>
        </w:rPr>
        <w:t>Introduction</w:t>
      </w:r>
    </w:p>
    <w:p w14:paraId="3A047DB9" w14:textId="1F7009E7" w:rsidR="00AC0E64" w:rsidRDefault="00AC0E64" w:rsidP="00FA438A">
      <w:r>
        <w:t>We distinguish between three types of scenarios:</w:t>
      </w:r>
    </w:p>
    <w:p w14:paraId="3440E77A" w14:textId="77777777" w:rsidR="00AC0E64" w:rsidRDefault="00AC0E64" w:rsidP="00FA438A"/>
    <w:p w14:paraId="5957FC1F" w14:textId="2108A709" w:rsidR="00AC0E64" w:rsidRDefault="00AC0E64" w:rsidP="00B2086B">
      <w:pPr>
        <w:pStyle w:val="Listeafsnit"/>
        <w:numPr>
          <w:ilvl w:val="0"/>
          <w:numId w:val="12"/>
        </w:numPr>
      </w:pPr>
      <w:r>
        <w:t>The base year: an actual Danish macroeconomic data for a past year, i.e. 2010</w:t>
      </w:r>
    </w:p>
    <w:p w14:paraId="11FF3B51" w14:textId="4BF263C5" w:rsidR="00AC0E64" w:rsidRDefault="00AC0E64" w:rsidP="00B2086B">
      <w:pPr>
        <w:pStyle w:val="Listeafsnit"/>
        <w:numPr>
          <w:ilvl w:val="0"/>
          <w:numId w:val="12"/>
        </w:numPr>
      </w:pPr>
      <w:r>
        <w:t xml:space="preserve">The reference scenarios: a projection of the base year </w:t>
      </w:r>
      <w:r w:rsidR="00B2086B">
        <w:t xml:space="preserve">to a specific year (e.g. </w:t>
      </w:r>
      <w:r w:rsidR="0006069E">
        <w:t xml:space="preserve">2025 or </w:t>
      </w:r>
      <w:r w:rsidR="00B2086B">
        <w:t xml:space="preserve">2035) </w:t>
      </w:r>
      <w:r>
        <w:t>using external estimates for growth in income, productivity, demand and output, but assuming only adopted policies</w:t>
      </w:r>
    </w:p>
    <w:p w14:paraId="78510BD4" w14:textId="59056A52" w:rsidR="00AC0E64" w:rsidRDefault="00AC0E64" w:rsidP="00B2086B">
      <w:pPr>
        <w:pStyle w:val="Listeafsnit"/>
        <w:numPr>
          <w:ilvl w:val="0"/>
          <w:numId w:val="12"/>
        </w:numPr>
      </w:pPr>
      <w:r>
        <w:t>The alternative scenarios: The reference scenario with the addition of policies not yet adopted</w:t>
      </w:r>
      <w:r w:rsidR="00B2086B">
        <w:t>, i.e. the reference and alternative scenario is projected to the same year</w:t>
      </w:r>
    </w:p>
    <w:p w14:paraId="63FCC109" w14:textId="77777777" w:rsidR="00AC0E64" w:rsidRDefault="00AC0E64" w:rsidP="00FA438A"/>
    <w:p w14:paraId="2649B88A" w14:textId="36646A9F" w:rsidR="00B2086B" w:rsidRDefault="00B2086B" w:rsidP="00FA438A">
      <w:r>
        <w:t>With this scenario structure, the reference and alternative scenarios can be readily compared and the economic cost of adopting various new policies can be calculated by comparing the relevant alternative scenario with the reference scenario.</w:t>
      </w:r>
    </w:p>
    <w:p w14:paraId="1CC95868" w14:textId="77777777" w:rsidR="003435D0" w:rsidRDefault="003435D0" w:rsidP="00FA438A"/>
    <w:p w14:paraId="7A0B543B" w14:textId="25F54D8A" w:rsidR="002463BA" w:rsidRDefault="003435D0" w:rsidP="00D70505">
      <w:r>
        <w:t xml:space="preserve">The TIMES-DK model </w:t>
      </w:r>
      <w:r w:rsidR="007121D1">
        <w:t>simulates 5-y</w:t>
      </w:r>
      <w:r>
        <w:t>ear intervals from 2010 to 2050 with full foresight, i.e. investment decisions in e.g. 2045 takes into account which investment decisions that are made in 2050. The CGE model simulates only one year, e.g. 2035.</w:t>
      </w:r>
    </w:p>
    <w:p w14:paraId="43D643FD" w14:textId="77777777" w:rsidR="003435D0" w:rsidRPr="003435D0" w:rsidRDefault="003435D0" w:rsidP="00D70505"/>
    <w:p w14:paraId="3A6A9669" w14:textId="7412EECF" w:rsidR="00FA438A" w:rsidRDefault="00FA438A" w:rsidP="00D70505">
      <w:pPr>
        <w:rPr>
          <w:b/>
        </w:rPr>
      </w:pPr>
      <w:r>
        <w:rPr>
          <w:b/>
        </w:rPr>
        <w:t>Modelling</w:t>
      </w:r>
    </w:p>
    <w:p w14:paraId="1CF4A114" w14:textId="1B242941" w:rsidR="00FA438A" w:rsidRDefault="00B405DA" w:rsidP="00D70505">
      <w:r>
        <w:t xml:space="preserve">The </w:t>
      </w:r>
      <w:r w:rsidR="00B2086B">
        <w:t xml:space="preserve">reference scenario in </w:t>
      </w:r>
      <w:r>
        <w:t xml:space="preserve">IntERACT is based on </w:t>
      </w:r>
      <w:r w:rsidR="00B2086B">
        <w:t>various known policies adopted either in the present or in a known near future</w:t>
      </w:r>
    </w:p>
    <w:p w14:paraId="64F6ED62" w14:textId="77777777" w:rsidR="00B405DA" w:rsidRDefault="00B405DA" w:rsidP="00D70505"/>
    <w:p w14:paraId="6FFDBD1D" w14:textId="2D9FC616" w:rsidR="00B405DA" w:rsidRDefault="00B405DA" w:rsidP="00D70505">
      <w:r>
        <w:t xml:space="preserve">What are </w:t>
      </w:r>
      <w:r w:rsidR="007121D1">
        <w:t xml:space="preserve">the </w:t>
      </w:r>
      <w:r>
        <w:t>ado</w:t>
      </w:r>
      <w:r w:rsidR="007121D1">
        <w:t>p</w:t>
      </w:r>
      <w:r>
        <w:t>ted policies (implemented in the model)</w:t>
      </w:r>
    </w:p>
    <w:p w14:paraId="724C3810" w14:textId="0509E9B4" w:rsidR="00B405DA" w:rsidRDefault="00B405DA" w:rsidP="00B2086B">
      <w:pPr>
        <w:pStyle w:val="Listeafsnit"/>
        <w:numPr>
          <w:ilvl w:val="0"/>
          <w:numId w:val="5"/>
        </w:numPr>
      </w:pPr>
      <w:r>
        <w:t>Wind 50 % by 2020</w:t>
      </w:r>
    </w:p>
    <w:p w14:paraId="04130DA0" w14:textId="77777777" w:rsidR="00C00B8E" w:rsidRDefault="00C00B8E" w:rsidP="00C00B8E">
      <w:pPr>
        <w:pStyle w:val="Listeafsnit"/>
        <w:numPr>
          <w:ilvl w:val="0"/>
          <w:numId w:val="5"/>
        </w:numPr>
      </w:pPr>
      <w:r>
        <w:t>5,75 % biofuel in transport from 2012</w:t>
      </w:r>
    </w:p>
    <w:p w14:paraId="269C2260" w14:textId="4EDF88ED" w:rsidR="00C00B8E" w:rsidRDefault="00C00B8E" w:rsidP="00B2086B">
      <w:pPr>
        <w:pStyle w:val="Listeafsnit"/>
        <w:numPr>
          <w:ilvl w:val="0"/>
          <w:numId w:val="5"/>
        </w:numPr>
      </w:pPr>
      <w:r>
        <w:t>10 % biofuel in transportation by 2020</w:t>
      </w:r>
    </w:p>
    <w:p w14:paraId="421A465B" w14:textId="60B0EC67" w:rsidR="00B405DA" w:rsidRDefault="00B30852" w:rsidP="00B2086B">
      <w:pPr>
        <w:pStyle w:val="Listeafsnit"/>
        <w:numPr>
          <w:ilvl w:val="0"/>
          <w:numId w:val="5"/>
        </w:numPr>
      </w:pPr>
      <w:r>
        <w:t>Other policies?</w:t>
      </w:r>
    </w:p>
    <w:p w14:paraId="2B0BF9BA" w14:textId="6D8B0FF8" w:rsidR="00B30852" w:rsidRDefault="00B30852" w:rsidP="00B30852"/>
    <w:p w14:paraId="0AF0A099" w14:textId="06EE8C75" w:rsidR="00B30852" w:rsidRDefault="00B30852" w:rsidP="00B30852">
      <w:r>
        <w:t xml:space="preserve">Other </w:t>
      </w:r>
      <w:r w:rsidR="00B2086B">
        <w:t xml:space="preserve">reference scenario </w:t>
      </w:r>
      <w:r>
        <w:t>assumption</w:t>
      </w:r>
      <w:r w:rsidR="007121D1">
        <w:t>s:</w:t>
      </w:r>
    </w:p>
    <w:p w14:paraId="4C4DB8AA" w14:textId="008E1425" w:rsidR="00B30852" w:rsidRDefault="00B30852" w:rsidP="00B2086B">
      <w:pPr>
        <w:pStyle w:val="Listeafsnit"/>
        <w:numPr>
          <w:ilvl w:val="0"/>
          <w:numId w:val="5"/>
        </w:numPr>
      </w:pPr>
      <w:r>
        <w:t>Denmark Convergence program 2014</w:t>
      </w:r>
    </w:p>
    <w:p w14:paraId="72A00934" w14:textId="79CCD2AF" w:rsidR="00B30852" w:rsidRDefault="00B30852" w:rsidP="00B2086B">
      <w:pPr>
        <w:pStyle w:val="Listeafsnit"/>
        <w:numPr>
          <w:ilvl w:val="0"/>
          <w:numId w:val="5"/>
        </w:numPr>
      </w:pPr>
      <w:r>
        <w:t>Smile model run 2050</w:t>
      </w:r>
      <w:r w:rsidR="00B2086B">
        <w:t xml:space="preserve"> </w:t>
      </w:r>
      <w:r w:rsidR="003435D0">
        <w:t>on the number and area of dwellings</w:t>
      </w:r>
    </w:p>
    <w:p w14:paraId="65A7737B" w14:textId="7358B835" w:rsidR="00B30852" w:rsidRDefault="00AB0B9C" w:rsidP="00B2086B">
      <w:pPr>
        <w:pStyle w:val="Listeafsnit"/>
        <w:numPr>
          <w:ilvl w:val="0"/>
          <w:numId w:val="5"/>
        </w:numPr>
      </w:pPr>
      <w:r>
        <w:t>Demand driver for Transportation</w:t>
      </w:r>
      <w:r w:rsidR="007121D1">
        <w:t xml:space="preserve"> (?)</w:t>
      </w:r>
    </w:p>
    <w:p w14:paraId="025976C7" w14:textId="3D2E6BC9" w:rsidR="00B2086B" w:rsidRDefault="00B2086B" w:rsidP="00B2086B">
      <w:pPr>
        <w:pStyle w:val="Listeafsnit"/>
        <w:numPr>
          <w:ilvl w:val="0"/>
          <w:numId w:val="5"/>
        </w:numPr>
      </w:pPr>
      <w:r>
        <w:t>Energy prices from World Energy Outlook</w:t>
      </w:r>
    </w:p>
    <w:p w14:paraId="59ADAC5F" w14:textId="7E71085D" w:rsidR="00B30852" w:rsidRPr="00B405DA" w:rsidRDefault="003435D0" w:rsidP="00B2086B">
      <w:pPr>
        <w:pStyle w:val="Listeafsnit"/>
        <w:numPr>
          <w:ilvl w:val="0"/>
          <w:numId w:val="5"/>
        </w:numPr>
      </w:pPr>
      <w:r>
        <w:t>Other?</w:t>
      </w:r>
    </w:p>
    <w:p w14:paraId="5C10776C" w14:textId="77777777" w:rsidR="00B405DA" w:rsidRDefault="00B405DA" w:rsidP="00D70505"/>
    <w:p w14:paraId="15F4AFA6" w14:textId="0318489C" w:rsidR="00340395" w:rsidRDefault="003435D0" w:rsidP="00D70505">
      <w:r>
        <w:t xml:space="preserve">The alternative scenario assumptions may concern changes in the various policy targets, e.g. stronger requirements for wind power, more biofuel in transport, reduced total emissions or alterations in the tax system. Also changed assumptions on </w:t>
      </w:r>
      <w:proofErr w:type="spellStart"/>
      <w:r>
        <w:t>RoW</w:t>
      </w:r>
      <w:proofErr w:type="spellEnd"/>
      <w:r>
        <w:t xml:space="preserve"> or other </w:t>
      </w:r>
      <w:r w:rsidR="00FA69FD">
        <w:t>technical assum</w:t>
      </w:r>
      <w:r w:rsidR="00FA69FD">
        <w:t>p</w:t>
      </w:r>
      <w:r w:rsidR="00FA69FD">
        <w:t>tions on the availability or adoption potential of specific technologies, e.g. electric vehicles</w:t>
      </w:r>
      <w:r w:rsidR="00865C96">
        <w:t xml:space="preserve">. </w:t>
      </w:r>
      <w:r w:rsidR="00340395">
        <w:t>The present version of version of the reference and alternative scenario may be found in the appendix.</w:t>
      </w:r>
    </w:p>
    <w:p w14:paraId="40C33DBE" w14:textId="77777777" w:rsidR="00FA438A" w:rsidRDefault="00FA438A" w:rsidP="00D70505"/>
    <w:p w14:paraId="6FD42E04" w14:textId="371BCBA5" w:rsidR="00FA438A" w:rsidRDefault="00FA438A" w:rsidP="00876F81">
      <w:pPr>
        <w:pStyle w:val="Overskrift2"/>
      </w:pPr>
      <w:bookmarkStart w:id="13" w:name="_Toc405293363"/>
      <w:r>
        <w:t>Challenges and assumptions</w:t>
      </w:r>
      <w:bookmarkEnd w:id="13"/>
    </w:p>
    <w:p w14:paraId="40604585" w14:textId="41D74988" w:rsidR="00FA438A" w:rsidRDefault="00FA69FD" w:rsidP="00D70505">
      <w:pPr>
        <w:rPr>
          <w:b/>
        </w:rPr>
      </w:pPr>
      <w:r>
        <w:t>The main challenge is to identify, select and organise among all the possible alternative sc</w:t>
      </w:r>
      <w:r>
        <w:t>e</w:t>
      </w:r>
      <w:r>
        <w:t>narios that can be modelled in order to present a coherent and informative decision support framework. For this purpose we use a feature called story lines, see next section.</w:t>
      </w:r>
    </w:p>
    <w:p w14:paraId="5CF57883" w14:textId="7DD01665" w:rsidR="000D4ABF" w:rsidRDefault="00B4340A" w:rsidP="0090466A">
      <w:pPr>
        <w:pStyle w:val="Overskrift1"/>
      </w:pPr>
      <w:bookmarkStart w:id="14" w:name="_Toc405293364"/>
      <w:r>
        <w:lastRenderedPageBreak/>
        <w:t xml:space="preserve">Using </w:t>
      </w:r>
      <w:r w:rsidR="0090466A">
        <w:t>storylines</w:t>
      </w:r>
      <w:bookmarkEnd w:id="14"/>
      <w:r w:rsidR="000D4ABF">
        <w:t xml:space="preserve"> </w:t>
      </w:r>
    </w:p>
    <w:p w14:paraId="501D18E6" w14:textId="77777777" w:rsidR="000D4ABF" w:rsidRDefault="000D4ABF">
      <w:pPr>
        <w:spacing w:line="240" w:lineRule="auto"/>
        <w:rPr>
          <w:b/>
        </w:rPr>
      </w:pPr>
    </w:p>
    <w:p w14:paraId="23A54A3A" w14:textId="1A139F3B" w:rsidR="00B4340A" w:rsidRDefault="00B4340A" w:rsidP="00FA438A">
      <w:pPr>
        <w:rPr>
          <w:b/>
        </w:rPr>
      </w:pPr>
      <w:r>
        <w:rPr>
          <w:b/>
        </w:rPr>
        <w:t>Introduction</w:t>
      </w:r>
    </w:p>
    <w:p w14:paraId="16F54FE0" w14:textId="514FDEC9" w:rsidR="00B629A6" w:rsidRDefault="00FA69FD" w:rsidP="00FA438A">
      <w:r>
        <w:t>In order to organise the alternative scenarios in a useful way for making energy policy, t</w:t>
      </w:r>
      <w:r w:rsidR="00B4340A">
        <w:t>he r</w:t>
      </w:r>
      <w:r w:rsidR="00B4340A">
        <w:t>e</w:t>
      </w:r>
      <w:r w:rsidR="00B4340A">
        <w:t>sults are presented in terms of story lines</w:t>
      </w:r>
      <w:r>
        <w:t>. A story line is</w:t>
      </w:r>
      <w:r w:rsidR="00B4340A">
        <w:t xml:space="preserve"> a set of </w:t>
      </w:r>
      <w:r>
        <w:t xml:space="preserve">scenarios, each consisting of </w:t>
      </w:r>
      <w:r w:rsidR="00B4340A">
        <w:t xml:space="preserve">smaller, incremental changes in the assumptions behind the models. </w:t>
      </w:r>
      <w:r w:rsidR="0027551C">
        <w:t>Each change is made u</w:t>
      </w:r>
      <w:r w:rsidR="0027551C">
        <w:t>s</w:t>
      </w:r>
      <w:r w:rsidR="0027551C">
        <w:t xml:space="preserve">ing a so-called </w:t>
      </w:r>
      <w:r w:rsidR="0027551C" w:rsidRPr="0027551C">
        <w:t>"handle"</w:t>
      </w:r>
      <w:r w:rsidR="0027551C">
        <w:t>, where the user can change a specific policy or technology assum</w:t>
      </w:r>
      <w:r w:rsidR="0027551C">
        <w:t>p</w:t>
      </w:r>
      <w:r w:rsidR="0027551C">
        <w:t>tion.</w:t>
      </w:r>
    </w:p>
    <w:p w14:paraId="6D32EA28" w14:textId="77777777" w:rsidR="00B629A6" w:rsidRDefault="00B629A6" w:rsidP="00FA438A"/>
    <w:p w14:paraId="171D595B" w14:textId="5C05FFCB" w:rsidR="00B4340A" w:rsidRDefault="00B4340A" w:rsidP="00FA438A">
      <w:r>
        <w:t xml:space="preserve">Typically, the changes relate to policies, e.g. gradually introducing </w:t>
      </w:r>
      <w:r w:rsidR="00AC0E64">
        <w:t xml:space="preserve">changed and/or </w:t>
      </w:r>
      <w:r>
        <w:t>more a</w:t>
      </w:r>
      <w:r>
        <w:t>m</w:t>
      </w:r>
      <w:r>
        <w:t xml:space="preserve">bitious energy policies, </w:t>
      </w:r>
      <w:proofErr w:type="gramStart"/>
      <w:r w:rsidR="0085314E">
        <w:t>A</w:t>
      </w:r>
      <w:proofErr w:type="gramEnd"/>
      <w:r w:rsidR="0085314E">
        <w:t xml:space="preserve"> story line thus allow the decision maker to follow various develo</w:t>
      </w:r>
      <w:r w:rsidR="0085314E">
        <w:t>p</w:t>
      </w:r>
      <w:r w:rsidR="0085314E">
        <w:t>ments in policies or circumstances around the policy to identify the impact of specific policy steps and circumstances.</w:t>
      </w:r>
    </w:p>
    <w:p w14:paraId="7701FB9D" w14:textId="77777777" w:rsidR="00B4340A" w:rsidRDefault="00B4340A" w:rsidP="00FA438A">
      <w:pPr>
        <w:rPr>
          <w:b/>
        </w:rPr>
      </w:pPr>
    </w:p>
    <w:p w14:paraId="4FFE679F" w14:textId="77777777" w:rsidR="00FA438A" w:rsidRDefault="00FA438A" w:rsidP="00FA438A">
      <w:pPr>
        <w:rPr>
          <w:b/>
        </w:rPr>
      </w:pPr>
      <w:r>
        <w:rPr>
          <w:b/>
        </w:rPr>
        <w:t>Modelling</w:t>
      </w:r>
    </w:p>
    <w:p w14:paraId="6C19322E" w14:textId="0B9DD9BF" w:rsidR="0085314E" w:rsidRDefault="0085314E" w:rsidP="0085314E">
      <w:r>
        <w:t>A story line might be the reference scenario followed by four alternative scenarios, each with an incremental change to energy policy, e.g.</w:t>
      </w:r>
    </w:p>
    <w:p w14:paraId="2CEA4CE4" w14:textId="77777777" w:rsidR="0006069E" w:rsidRDefault="0006069E" w:rsidP="0085314E"/>
    <w:p w14:paraId="0C9323E8" w14:textId="6E485EAD" w:rsidR="0085314E" w:rsidRPr="00876F81" w:rsidRDefault="0085314E" w:rsidP="0085314E">
      <w:pPr>
        <w:pStyle w:val="Listeafsnit"/>
        <w:numPr>
          <w:ilvl w:val="0"/>
          <w:numId w:val="13"/>
        </w:numPr>
      </w:pPr>
      <w:r w:rsidRPr="00876F81">
        <w:t>Add wind power min target</w:t>
      </w:r>
    </w:p>
    <w:p w14:paraId="03D53967" w14:textId="490CD121" w:rsidR="0085314E" w:rsidRPr="00876F81" w:rsidRDefault="0085314E" w:rsidP="0085314E">
      <w:pPr>
        <w:pStyle w:val="Listeafsnit"/>
        <w:numPr>
          <w:ilvl w:val="0"/>
          <w:numId w:val="13"/>
        </w:numPr>
      </w:pPr>
      <w:r w:rsidRPr="00876F81">
        <w:t>Add biomass max target</w:t>
      </w:r>
    </w:p>
    <w:p w14:paraId="2607C7C9" w14:textId="6222D93B" w:rsidR="0085314E" w:rsidRPr="00876F81" w:rsidRDefault="0085314E" w:rsidP="0085314E">
      <w:pPr>
        <w:pStyle w:val="Listeafsnit"/>
        <w:numPr>
          <w:ilvl w:val="0"/>
          <w:numId w:val="13"/>
        </w:numPr>
      </w:pPr>
      <w:r w:rsidRPr="00876F81">
        <w:t>Drop wind power target and add CO</w:t>
      </w:r>
      <w:r w:rsidRPr="0085314E">
        <w:rPr>
          <w:rFonts w:ascii="Cambria Math" w:hAnsi="Cambria Math" w:cs="Cambria Math"/>
        </w:rPr>
        <w:t>₂</w:t>
      </w:r>
      <w:r w:rsidRPr="00876F81">
        <w:t xml:space="preserve"> target</w:t>
      </w:r>
    </w:p>
    <w:p w14:paraId="138839AC" w14:textId="47F69A19" w:rsidR="0085314E" w:rsidRPr="00876F81" w:rsidRDefault="0085314E" w:rsidP="0085314E">
      <w:pPr>
        <w:pStyle w:val="Listeafsnit"/>
        <w:numPr>
          <w:ilvl w:val="0"/>
          <w:numId w:val="13"/>
        </w:numPr>
      </w:pPr>
      <w:r w:rsidRPr="00876F81">
        <w:t>Drop existing</w:t>
      </w:r>
      <w:r w:rsidR="00B629A6">
        <w:t xml:space="preserve"> energy</w:t>
      </w:r>
      <w:r w:rsidRPr="00876F81">
        <w:t xml:space="preserve"> tax system and base taxes on energy services</w:t>
      </w:r>
    </w:p>
    <w:p w14:paraId="55A3EB9F" w14:textId="77777777" w:rsidR="0085314E" w:rsidRDefault="0085314E" w:rsidP="00FA438A"/>
    <w:p w14:paraId="30083982" w14:textId="5AB6F849" w:rsidR="00B629A6" w:rsidRDefault="00B629A6" w:rsidP="00FA438A">
      <w:r>
        <w:t>The above storyline thus consists of a reference scenario with changes to a number of "policy handles" (e.g. 3 targets for wind, biomass and CO</w:t>
      </w:r>
      <w:r>
        <w:rPr>
          <w:rFonts w:ascii="Cambria Math" w:hAnsi="Cambria Math" w:cs="Cambria Math"/>
        </w:rPr>
        <w:t>₂</w:t>
      </w:r>
      <w:r>
        <w:t>, and a policy handle for energy taxation system).</w:t>
      </w:r>
    </w:p>
    <w:p w14:paraId="5A827B09" w14:textId="77777777" w:rsidR="00B629A6" w:rsidRDefault="00B629A6" w:rsidP="00FA438A"/>
    <w:p w14:paraId="020E1863" w14:textId="4DEA4BD9" w:rsidR="0085314E" w:rsidRDefault="0085314E" w:rsidP="00FA438A">
      <w:r>
        <w:t>It is also possible to change the sequence of the policies in order to analyse whether specific policies are particularly costly or effective.</w:t>
      </w:r>
    </w:p>
    <w:p w14:paraId="28FB52E5" w14:textId="77777777" w:rsidR="00FA438A" w:rsidRDefault="00FA438A" w:rsidP="00FA438A"/>
    <w:p w14:paraId="4CA7EC43" w14:textId="77777777" w:rsidR="00FA438A" w:rsidRPr="00B629A6" w:rsidRDefault="00FA438A" w:rsidP="00FA438A">
      <w:pPr>
        <w:pStyle w:val="Overskrift2"/>
      </w:pPr>
      <w:bookmarkStart w:id="15" w:name="_Toc405293365"/>
      <w:r w:rsidRPr="00B629A6">
        <w:t>Challenges and assumptions</w:t>
      </w:r>
      <w:bookmarkEnd w:id="15"/>
    </w:p>
    <w:p w14:paraId="333B5A40" w14:textId="685B83D8" w:rsidR="00B629A6" w:rsidRDefault="00B629A6" w:rsidP="00FA438A">
      <w:r w:rsidRPr="00B629A6">
        <w:t xml:space="preserve">One particular challenge of the storyline construction is that great care must be taken </w:t>
      </w:r>
      <w:r>
        <w:t xml:space="preserve">when choosing e.g. the different </w:t>
      </w:r>
      <w:proofErr w:type="spellStart"/>
      <w:r>
        <w:t>RoW</w:t>
      </w:r>
      <w:proofErr w:type="spellEnd"/>
      <w:r>
        <w:t xml:space="preserve"> regime. Consider the following </w:t>
      </w:r>
      <w:r w:rsidR="00925C54">
        <w:t>three</w:t>
      </w:r>
      <w:r>
        <w:t xml:space="preserve"> examples of analysing a greener Danish energy policy by comparing a reference with an alternative scenario:</w:t>
      </w:r>
    </w:p>
    <w:p w14:paraId="66BE32EA" w14:textId="77777777" w:rsidR="000214BA" w:rsidRDefault="000214BA" w:rsidP="00FA438A"/>
    <w:tbl>
      <w:tblPr>
        <w:tblStyle w:val="Tabel-Gitter"/>
        <w:tblW w:w="0" w:type="auto"/>
        <w:tblLook w:val="04A0" w:firstRow="1" w:lastRow="0" w:firstColumn="1" w:lastColumn="0" w:noHBand="0" w:noVBand="1"/>
      </w:tblPr>
      <w:tblGrid>
        <w:gridCol w:w="2660"/>
        <w:gridCol w:w="1559"/>
        <w:gridCol w:w="1559"/>
        <w:gridCol w:w="362"/>
        <w:gridCol w:w="1481"/>
        <w:gridCol w:w="1590"/>
      </w:tblGrid>
      <w:tr w:rsidR="000214BA" w14:paraId="1776D453" w14:textId="77777777" w:rsidTr="000214BA">
        <w:tc>
          <w:tcPr>
            <w:tcW w:w="2660" w:type="dxa"/>
            <w:shd w:val="clear" w:color="auto" w:fill="D9D9D9" w:themeFill="background1" w:themeFillShade="D9"/>
          </w:tcPr>
          <w:p w14:paraId="30E65AED" w14:textId="77777777" w:rsidR="000214BA" w:rsidRDefault="000214BA" w:rsidP="00FA438A"/>
        </w:tc>
        <w:tc>
          <w:tcPr>
            <w:tcW w:w="3118" w:type="dxa"/>
            <w:gridSpan w:val="2"/>
            <w:shd w:val="clear" w:color="auto" w:fill="D9D9D9" w:themeFill="background1" w:themeFillShade="D9"/>
            <w:vAlign w:val="center"/>
          </w:tcPr>
          <w:p w14:paraId="40C8EAEF" w14:textId="413E9932" w:rsidR="000214BA" w:rsidRPr="000214BA" w:rsidRDefault="000214BA" w:rsidP="000214BA">
            <w:pPr>
              <w:jc w:val="center"/>
              <w:rPr>
                <w:b/>
              </w:rPr>
            </w:pPr>
            <w:r w:rsidRPr="000214BA">
              <w:rPr>
                <w:b/>
              </w:rPr>
              <w:t>Reference scenario</w:t>
            </w:r>
          </w:p>
        </w:tc>
        <w:tc>
          <w:tcPr>
            <w:tcW w:w="362" w:type="dxa"/>
            <w:shd w:val="clear" w:color="auto" w:fill="D9D9D9" w:themeFill="background1" w:themeFillShade="D9"/>
            <w:vAlign w:val="center"/>
          </w:tcPr>
          <w:p w14:paraId="76E9B01B" w14:textId="77777777" w:rsidR="000214BA" w:rsidRDefault="000214BA" w:rsidP="000214BA">
            <w:pPr>
              <w:jc w:val="center"/>
            </w:pPr>
          </w:p>
        </w:tc>
        <w:tc>
          <w:tcPr>
            <w:tcW w:w="3071" w:type="dxa"/>
            <w:gridSpan w:val="2"/>
            <w:shd w:val="clear" w:color="auto" w:fill="D9D9D9" w:themeFill="background1" w:themeFillShade="D9"/>
            <w:vAlign w:val="center"/>
          </w:tcPr>
          <w:p w14:paraId="2D43A753" w14:textId="1987E537" w:rsidR="000214BA" w:rsidRPr="000214BA" w:rsidRDefault="000214BA" w:rsidP="000214BA">
            <w:pPr>
              <w:jc w:val="center"/>
              <w:rPr>
                <w:b/>
              </w:rPr>
            </w:pPr>
            <w:r w:rsidRPr="000214BA">
              <w:rPr>
                <w:b/>
              </w:rPr>
              <w:t>Alternative scenario</w:t>
            </w:r>
          </w:p>
        </w:tc>
      </w:tr>
      <w:tr w:rsidR="000214BA" w14:paraId="07372DF8" w14:textId="77777777" w:rsidTr="000214BA">
        <w:tc>
          <w:tcPr>
            <w:tcW w:w="2660" w:type="dxa"/>
            <w:shd w:val="clear" w:color="auto" w:fill="D9D9D9" w:themeFill="background1" w:themeFillShade="D9"/>
          </w:tcPr>
          <w:p w14:paraId="08E4D56F" w14:textId="77777777" w:rsidR="000214BA" w:rsidRDefault="000214BA" w:rsidP="00FA438A"/>
        </w:tc>
        <w:tc>
          <w:tcPr>
            <w:tcW w:w="1559" w:type="dxa"/>
            <w:shd w:val="clear" w:color="auto" w:fill="D9D9D9" w:themeFill="background1" w:themeFillShade="D9"/>
            <w:vAlign w:val="center"/>
          </w:tcPr>
          <w:p w14:paraId="4DDCBEAB" w14:textId="63802C6E" w:rsidR="000214BA" w:rsidRDefault="000214BA" w:rsidP="000214BA">
            <w:pPr>
              <w:jc w:val="center"/>
            </w:pPr>
            <w:r>
              <w:t>DK policy</w:t>
            </w:r>
          </w:p>
        </w:tc>
        <w:tc>
          <w:tcPr>
            <w:tcW w:w="1559" w:type="dxa"/>
            <w:shd w:val="clear" w:color="auto" w:fill="D9D9D9" w:themeFill="background1" w:themeFillShade="D9"/>
            <w:vAlign w:val="center"/>
          </w:tcPr>
          <w:p w14:paraId="288B7A91" w14:textId="47355F10" w:rsidR="000214BA" w:rsidRDefault="000214BA" w:rsidP="000214BA">
            <w:pPr>
              <w:jc w:val="center"/>
            </w:pPr>
            <w:proofErr w:type="spellStart"/>
            <w:r>
              <w:t>RoW</w:t>
            </w:r>
            <w:proofErr w:type="spellEnd"/>
            <w:r>
              <w:t xml:space="preserve"> regime</w:t>
            </w:r>
          </w:p>
        </w:tc>
        <w:tc>
          <w:tcPr>
            <w:tcW w:w="362" w:type="dxa"/>
            <w:shd w:val="clear" w:color="auto" w:fill="D9D9D9" w:themeFill="background1" w:themeFillShade="D9"/>
            <w:vAlign w:val="center"/>
          </w:tcPr>
          <w:p w14:paraId="09E9DB5B" w14:textId="77777777" w:rsidR="000214BA" w:rsidRDefault="000214BA" w:rsidP="000214BA">
            <w:pPr>
              <w:jc w:val="center"/>
            </w:pPr>
          </w:p>
        </w:tc>
        <w:tc>
          <w:tcPr>
            <w:tcW w:w="1481" w:type="dxa"/>
            <w:shd w:val="clear" w:color="auto" w:fill="D9D9D9" w:themeFill="background1" w:themeFillShade="D9"/>
            <w:vAlign w:val="center"/>
          </w:tcPr>
          <w:p w14:paraId="6B90DAE4" w14:textId="31DA707F" w:rsidR="000214BA" w:rsidRDefault="000214BA" w:rsidP="000214BA">
            <w:pPr>
              <w:jc w:val="center"/>
            </w:pPr>
            <w:r>
              <w:t>DK policy</w:t>
            </w:r>
          </w:p>
        </w:tc>
        <w:tc>
          <w:tcPr>
            <w:tcW w:w="1590" w:type="dxa"/>
            <w:shd w:val="clear" w:color="auto" w:fill="D9D9D9" w:themeFill="background1" w:themeFillShade="D9"/>
            <w:vAlign w:val="center"/>
          </w:tcPr>
          <w:p w14:paraId="2F2A5CCF" w14:textId="241A7A60" w:rsidR="000214BA" w:rsidRDefault="000214BA" w:rsidP="000214BA">
            <w:pPr>
              <w:jc w:val="center"/>
            </w:pPr>
            <w:proofErr w:type="spellStart"/>
            <w:r>
              <w:t>RoW</w:t>
            </w:r>
            <w:proofErr w:type="spellEnd"/>
            <w:r>
              <w:t xml:space="preserve"> regime</w:t>
            </w:r>
          </w:p>
        </w:tc>
      </w:tr>
      <w:tr w:rsidR="000214BA" w14:paraId="40E08FA9" w14:textId="77777777" w:rsidTr="000214BA">
        <w:tc>
          <w:tcPr>
            <w:tcW w:w="2660" w:type="dxa"/>
            <w:vAlign w:val="center"/>
          </w:tcPr>
          <w:p w14:paraId="44BC3E55" w14:textId="1FFBD480" w:rsidR="000214BA" w:rsidRDefault="000214BA" w:rsidP="000214BA">
            <w:r>
              <w:t>A: DK solo policy</w:t>
            </w:r>
          </w:p>
        </w:tc>
        <w:tc>
          <w:tcPr>
            <w:tcW w:w="1559" w:type="dxa"/>
            <w:vAlign w:val="center"/>
          </w:tcPr>
          <w:p w14:paraId="04B015FA" w14:textId="26D57E3B" w:rsidR="000214BA" w:rsidRDefault="000214BA" w:rsidP="000214BA">
            <w:pPr>
              <w:jc w:val="center"/>
            </w:pPr>
            <w:r>
              <w:t>Black</w:t>
            </w:r>
          </w:p>
        </w:tc>
        <w:tc>
          <w:tcPr>
            <w:tcW w:w="1559" w:type="dxa"/>
            <w:vAlign w:val="center"/>
          </w:tcPr>
          <w:p w14:paraId="7247DC27" w14:textId="6758709A" w:rsidR="000214BA" w:rsidRDefault="000214BA" w:rsidP="000214BA">
            <w:pPr>
              <w:jc w:val="center"/>
            </w:pPr>
            <w:r>
              <w:t>Black</w:t>
            </w:r>
          </w:p>
        </w:tc>
        <w:tc>
          <w:tcPr>
            <w:tcW w:w="362" w:type="dxa"/>
            <w:vAlign w:val="center"/>
          </w:tcPr>
          <w:p w14:paraId="49D5B72F" w14:textId="77777777" w:rsidR="000214BA" w:rsidRDefault="000214BA" w:rsidP="000214BA">
            <w:pPr>
              <w:jc w:val="center"/>
            </w:pPr>
          </w:p>
        </w:tc>
        <w:tc>
          <w:tcPr>
            <w:tcW w:w="1481" w:type="dxa"/>
            <w:vAlign w:val="center"/>
          </w:tcPr>
          <w:p w14:paraId="26E15906" w14:textId="46E4B59D" w:rsidR="000214BA" w:rsidRPr="000214BA" w:rsidRDefault="000214BA" w:rsidP="000214BA">
            <w:pPr>
              <w:jc w:val="center"/>
              <w:rPr>
                <w:i/>
              </w:rPr>
            </w:pPr>
            <w:r w:rsidRPr="000214BA">
              <w:rPr>
                <w:i/>
              </w:rPr>
              <w:t>Green</w:t>
            </w:r>
          </w:p>
        </w:tc>
        <w:tc>
          <w:tcPr>
            <w:tcW w:w="1590" w:type="dxa"/>
            <w:vAlign w:val="center"/>
          </w:tcPr>
          <w:p w14:paraId="2E20F194" w14:textId="4F181091" w:rsidR="000214BA" w:rsidRPr="000214BA" w:rsidRDefault="000214BA" w:rsidP="000214BA">
            <w:pPr>
              <w:jc w:val="center"/>
            </w:pPr>
            <w:r w:rsidRPr="000214BA">
              <w:t>Black</w:t>
            </w:r>
          </w:p>
        </w:tc>
      </w:tr>
      <w:tr w:rsidR="000214BA" w14:paraId="17FAAE7F" w14:textId="77777777" w:rsidTr="000214BA">
        <w:tc>
          <w:tcPr>
            <w:tcW w:w="2660" w:type="dxa"/>
            <w:vAlign w:val="center"/>
          </w:tcPr>
          <w:p w14:paraId="01F41885" w14:textId="1B13F21E" w:rsidR="000214BA" w:rsidRDefault="000214BA" w:rsidP="000214BA">
            <w:r>
              <w:t>B: Common action</w:t>
            </w:r>
          </w:p>
        </w:tc>
        <w:tc>
          <w:tcPr>
            <w:tcW w:w="1559" w:type="dxa"/>
            <w:vAlign w:val="center"/>
          </w:tcPr>
          <w:p w14:paraId="0C5D5CCB" w14:textId="69405DEB" w:rsidR="000214BA" w:rsidRDefault="000214BA" w:rsidP="000214BA">
            <w:pPr>
              <w:jc w:val="center"/>
            </w:pPr>
            <w:r>
              <w:t>Black</w:t>
            </w:r>
          </w:p>
        </w:tc>
        <w:tc>
          <w:tcPr>
            <w:tcW w:w="1559" w:type="dxa"/>
            <w:vAlign w:val="center"/>
          </w:tcPr>
          <w:p w14:paraId="74BD8D3F" w14:textId="655FF901" w:rsidR="000214BA" w:rsidRDefault="000214BA" w:rsidP="000214BA">
            <w:pPr>
              <w:jc w:val="center"/>
            </w:pPr>
            <w:r>
              <w:t>Black</w:t>
            </w:r>
          </w:p>
        </w:tc>
        <w:tc>
          <w:tcPr>
            <w:tcW w:w="362" w:type="dxa"/>
            <w:vAlign w:val="center"/>
          </w:tcPr>
          <w:p w14:paraId="26E08EE2" w14:textId="77777777" w:rsidR="000214BA" w:rsidRDefault="000214BA" w:rsidP="000214BA">
            <w:pPr>
              <w:jc w:val="center"/>
            </w:pPr>
          </w:p>
        </w:tc>
        <w:tc>
          <w:tcPr>
            <w:tcW w:w="1481" w:type="dxa"/>
            <w:vAlign w:val="center"/>
          </w:tcPr>
          <w:p w14:paraId="0FD6391D" w14:textId="2DE08623" w:rsidR="000214BA" w:rsidRPr="000214BA" w:rsidRDefault="000214BA" w:rsidP="000214BA">
            <w:pPr>
              <w:jc w:val="center"/>
              <w:rPr>
                <w:i/>
              </w:rPr>
            </w:pPr>
            <w:r w:rsidRPr="000214BA">
              <w:rPr>
                <w:i/>
              </w:rPr>
              <w:t>Green</w:t>
            </w:r>
          </w:p>
        </w:tc>
        <w:tc>
          <w:tcPr>
            <w:tcW w:w="1590" w:type="dxa"/>
            <w:vAlign w:val="center"/>
          </w:tcPr>
          <w:p w14:paraId="2859CC2D" w14:textId="1986C056" w:rsidR="000214BA" w:rsidRPr="000214BA" w:rsidRDefault="000214BA" w:rsidP="000214BA">
            <w:pPr>
              <w:jc w:val="center"/>
              <w:rPr>
                <w:i/>
              </w:rPr>
            </w:pPr>
            <w:r w:rsidRPr="000214BA">
              <w:rPr>
                <w:i/>
              </w:rPr>
              <w:t>Green</w:t>
            </w:r>
          </w:p>
        </w:tc>
      </w:tr>
      <w:tr w:rsidR="000214BA" w14:paraId="1CBAD915" w14:textId="77777777" w:rsidTr="000214BA">
        <w:tc>
          <w:tcPr>
            <w:tcW w:w="2660" w:type="dxa"/>
            <w:vAlign w:val="center"/>
          </w:tcPr>
          <w:p w14:paraId="0704F0F1" w14:textId="673C248A" w:rsidR="000214BA" w:rsidRDefault="000214BA" w:rsidP="000214BA">
            <w:r>
              <w:t>C: DK cheating</w:t>
            </w:r>
          </w:p>
        </w:tc>
        <w:tc>
          <w:tcPr>
            <w:tcW w:w="1559" w:type="dxa"/>
            <w:vAlign w:val="center"/>
          </w:tcPr>
          <w:p w14:paraId="639C06DE" w14:textId="618D71FD" w:rsidR="000214BA" w:rsidRDefault="000214BA" w:rsidP="000214BA">
            <w:pPr>
              <w:jc w:val="center"/>
            </w:pPr>
            <w:r>
              <w:t>Black</w:t>
            </w:r>
          </w:p>
        </w:tc>
        <w:tc>
          <w:tcPr>
            <w:tcW w:w="1559" w:type="dxa"/>
            <w:vAlign w:val="center"/>
          </w:tcPr>
          <w:p w14:paraId="73C07120" w14:textId="0A5AF372" w:rsidR="000214BA" w:rsidRDefault="000214BA" w:rsidP="000214BA">
            <w:pPr>
              <w:jc w:val="center"/>
            </w:pPr>
            <w:r>
              <w:t>Green</w:t>
            </w:r>
          </w:p>
        </w:tc>
        <w:tc>
          <w:tcPr>
            <w:tcW w:w="362" w:type="dxa"/>
            <w:vAlign w:val="center"/>
          </w:tcPr>
          <w:p w14:paraId="38C0C9D8" w14:textId="77777777" w:rsidR="000214BA" w:rsidRDefault="000214BA" w:rsidP="000214BA">
            <w:pPr>
              <w:jc w:val="center"/>
            </w:pPr>
          </w:p>
        </w:tc>
        <w:tc>
          <w:tcPr>
            <w:tcW w:w="1481" w:type="dxa"/>
            <w:vAlign w:val="center"/>
          </w:tcPr>
          <w:p w14:paraId="570C28A0" w14:textId="5E3A0B8B" w:rsidR="000214BA" w:rsidRPr="000214BA" w:rsidRDefault="000214BA" w:rsidP="000214BA">
            <w:pPr>
              <w:jc w:val="center"/>
              <w:rPr>
                <w:i/>
              </w:rPr>
            </w:pPr>
            <w:r w:rsidRPr="000214BA">
              <w:rPr>
                <w:i/>
              </w:rPr>
              <w:t>Green</w:t>
            </w:r>
          </w:p>
        </w:tc>
        <w:tc>
          <w:tcPr>
            <w:tcW w:w="1590" w:type="dxa"/>
            <w:vAlign w:val="center"/>
          </w:tcPr>
          <w:p w14:paraId="087F7512" w14:textId="73D9B6FF" w:rsidR="000214BA" w:rsidRPr="000214BA" w:rsidRDefault="000214BA" w:rsidP="000214BA">
            <w:pPr>
              <w:jc w:val="center"/>
            </w:pPr>
            <w:r w:rsidRPr="000214BA">
              <w:t>Green</w:t>
            </w:r>
          </w:p>
        </w:tc>
      </w:tr>
    </w:tbl>
    <w:p w14:paraId="29B4325F" w14:textId="0A141C9C" w:rsidR="000214BA" w:rsidRDefault="000214BA" w:rsidP="00FA438A">
      <w:r>
        <w:t>Note: Differences between reference and alternative are marked with italics.</w:t>
      </w:r>
    </w:p>
    <w:p w14:paraId="675DD004" w14:textId="77777777" w:rsidR="000214BA" w:rsidRDefault="000214BA" w:rsidP="00FA438A"/>
    <w:p w14:paraId="67391AC9" w14:textId="4B1B4F14" w:rsidR="00B629A6" w:rsidRDefault="00B629A6" w:rsidP="00B629A6">
      <w:r>
        <w:t>In example (</w:t>
      </w:r>
      <w:r w:rsidR="000214BA">
        <w:t>A</w:t>
      </w:r>
      <w:r>
        <w:t xml:space="preserve">) the assumption is that only Denmark will implement a greener energy policy, while the </w:t>
      </w:r>
      <w:proofErr w:type="spellStart"/>
      <w:r>
        <w:t>RoW</w:t>
      </w:r>
      <w:proofErr w:type="spellEnd"/>
      <w:r>
        <w:t xml:space="preserve"> will not. Denmark may thus suffer on its competitiveness, although the cost of internationally traded biomass is lower, thus reducing the cost of some of the Danish energy policy.</w:t>
      </w:r>
    </w:p>
    <w:p w14:paraId="06B49588" w14:textId="77777777" w:rsidR="00B629A6" w:rsidRDefault="00B629A6" w:rsidP="00B629A6"/>
    <w:p w14:paraId="58D9289F" w14:textId="1DB9F752" w:rsidR="00B629A6" w:rsidRDefault="000214BA" w:rsidP="00B629A6">
      <w:r>
        <w:lastRenderedPageBreak/>
        <w:t>In example (B</w:t>
      </w:r>
      <w:r w:rsidR="00B629A6">
        <w:t xml:space="preserve">) the assumption is that both Denmark and </w:t>
      </w:r>
      <w:proofErr w:type="spellStart"/>
      <w:r w:rsidR="00B629A6">
        <w:t>RoW</w:t>
      </w:r>
      <w:proofErr w:type="spellEnd"/>
      <w:r w:rsidR="00B629A6">
        <w:t xml:space="preserve"> (that is, those of Denmark's main trading partners which have green energy ambitions) will </w:t>
      </w:r>
      <w:r w:rsidR="00925C54">
        <w:t>implement greener energy po</w:t>
      </w:r>
      <w:r w:rsidR="00925C54">
        <w:t>l</w:t>
      </w:r>
      <w:r w:rsidR="00925C54">
        <w:t>icy simultaneously. In this case, the Danish competitiveness might suffer less (</w:t>
      </w:r>
      <w:r w:rsidR="00925C54" w:rsidRPr="00925C54">
        <w:rPr>
          <w:i/>
        </w:rPr>
        <w:t>ceteris par</w:t>
      </w:r>
      <w:r w:rsidR="00925C54" w:rsidRPr="00925C54">
        <w:rPr>
          <w:i/>
        </w:rPr>
        <w:t>i</w:t>
      </w:r>
      <w:r w:rsidR="00925C54" w:rsidRPr="00925C54">
        <w:rPr>
          <w:i/>
        </w:rPr>
        <w:t>bus</w:t>
      </w:r>
      <w:r w:rsidR="00925C54">
        <w:t xml:space="preserve">) </w:t>
      </w:r>
      <w:r>
        <w:t>than in option (A</w:t>
      </w:r>
      <w:r w:rsidR="00925C54">
        <w:t>), but on the downside, the cost of biomass increases, as the world d</w:t>
      </w:r>
      <w:r w:rsidR="00925C54">
        <w:t>e</w:t>
      </w:r>
      <w:r w:rsidR="00925C54">
        <w:t>mand for biomass is larger.</w:t>
      </w:r>
    </w:p>
    <w:p w14:paraId="2D7DA032" w14:textId="77777777" w:rsidR="00925C54" w:rsidRDefault="00925C54" w:rsidP="00B629A6"/>
    <w:p w14:paraId="4DDEC90D" w14:textId="13E8DC72" w:rsidR="00925C54" w:rsidRDefault="00925C54" w:rsidP="00B629A6">
      <w:r>
        <w:t xml:space="preserve">In example </w:t>
      </w:r>
      <w:r w:rsidR="000214BA">
        <w:t>(C</w:t>
      </w:r>
      <w:r>
        <w:t>) the assumption is that Denmark can "cheat" on its energy policy, doing not</w:t>
      </w:r>
      <w:r>
        <w:t>h</w:t>
      </w:r>
      <w:r>
        <w:t xml:space="preserve">ing while </w:t>
      </w:r>
      <w:proofErr w:type="spellStart"/>
      <w:r>
        <w:t>RoW</w:t>
      </w:r>
      <w:proofErr w:type="spellEnd"/>
      <w:r>
        <w:t xml:space="preserve"> </w:t>
      </w:r>
      <w:proofErr w:type="gramStart"/>
      <w:r>
        <w:t>do</w:t>
      </w:r>
      <w:proofErr w:type="gramEnd"/>
      <w:r>
        <w:t xml:space="preserve"> implement greener energy policies. In this case the greening of Danish e</w:t>
      </w:r>
      <w:r>
        <w:t>n</w:t>
      </w:r>
      <w:r>
        <w:t xml:space="preserve">ergy policy suffers both from going from relatively cheap fossil fuels to expensive biofuels (this is the assumption of Green </w:t>
      </w:r>
      <w:proofErr w:type="spellStart"/>
      <w:r>
        <w:t>RoW</w:t>
      </w:r>
      <w:proofErr w:type="spellEnd"/>
      <w:r>
        <w:t xml:space="preserve"> regime) as well as not enjoying the "benefit" of i</w:t>
      </w:r>
      <w:r>
        <w:t>n</w:t>
      </w:r>
      <w:r>
        <w:t>creased competitor costs</w:t>
      </w:r>
      <w:r>
        <w:rPr>
          <w:rStyle w:val="Fodnotehenvisning"/>
        </w:rPr>
        <w:footnoteReference w:id="2"/>
      </w:r>
      <w:r>
        <w:t xml:space="preserve"> of internationally traded goods and services.</w:t>
      </w:r>
    </w:p>
    <w:p w14:paraId="179E3F63" w14:textId="77777777" w:rsidR="00925C54" w:rsidRDefault="00925C54" w:rsidP="00B629A6"/>
    <w:p w14:paraId="2A0BDF1B" w14:textId="77777777" w:rsidR="00BE6C68" w:rsidRDefault="00925C54" w:rsidP="00B629A6">
      <w:r>
        <w:t>The important lesson here is that all three examples are valid scenario choices, but both r</w:t>
      </w:r>
      <w:r>
        <w:t>e</w:t>
      </w:r>
      <w:r>
        <w:t>sults and interpretation may be quite different.</w:t>
      </w:r>
      <w:r w:rsidR="003507B5">
        <w:t xml:space="preserve"> </w:t>
      </w:r>
    </w:p>
    <w:p w14:paraId="19CBDF06" w14:textId="77777777" w:rsidR="00BE6C68" w:rsidRDefault="00BE6C68" w:rsidP="00B629A6"/>
    <w:p w14:paraId="49D1D612" w14:textId="6FE6E8AE" w:rsidR="00BE6C68" w:rsidRDefault="003507B5" w:rsidP="00B629A6">
      <w:r>
        <w:t xml:space="preserve">A tentative recommendation is to settle for one composition of </w:t>
      </w:r>
      <w:proofErr w:type="spellStart"/>
      <w:r>
        <w:t>RoW</w:t>
      </w:r>
      <w:proofErr w:type="spellEnd"/>
      <w:r>
        <w:t xml:space="preserve"> regime sequence (e.g. black DK/black </w:t>
      </w:r>
      <w:proofErr w:type="spellStart"/>
      <w:r>
        <w:t>RoW</w:t>
      </w:r>
      <w:proofErr w:type="spellEnd"/>
      <w:r>
        <w:t xml:space="preserve"> to green DK/green </w:t>
      </w:r>
      <w:proofErr w:type="spellStart"/>
      <w:r>
        <w:t>RoW</w:t>
      </w:r>
      <w:proofErr w:type="spellEnd"/>
      <w:r>
        <w:t xml:space="preserve">) and do all analyses according to this. </w:t>
      </w:r>
      <w:r w:rsidR="00BE6C68">
        <w:t xml:space="preserve">In this case, Danish energy policy choices would be analysed in a context of </w:t>
      </w:r>
      <w:proofErr w:type="spellStart"/>
      <w:r w:rsidR="00BE6C68">
        <w:t>RoW</w:t>
      </w:r>
      <w:proofErr w:type="spellEnd"/>
      <w:r w:rsidR="00BE6C68">
        <w:t xml:space="preserve"> also fulfilling its green ambitions.</w:t>
      </w:r>
    </w:p>
    <w:p w14:paraId="4BD79F6C" w14:textId="77777777" w:rsidR="00BE6C68" w:rsidRDefault="00BE6C68" w:rsidP="00B629A6"/>
    <w:p w14:paraId="2CF2847E" w14:textId="7E226C21" w:rsidR="00925C54" w:rsidRPr="00B629A6" w:rsidRDefault="003507B5" w:rsidP="00B629A6">
      <w:r>
        <w:t xml:space="preserve">In order to shed light on </w:t>
      </w:r>
      <w:r w:rsidR="00BE6C68">
        <w:t xml:space="preserve">an </w:t>
      </w:r>
      <w:r>
        <w:t xml:space="preserve">alternative assumptions </w:t>
      </w:r>
      <w:r w:rsidR="00BE6C68">
        <w:t>on what would happen if Denmark were the only country which fulfilled its green ambitions</w:t>
      </w:r>
      <w:r>
        <w:t xml:space="preserve">, a sensitivity composition of regimes (black DK/black </w:t>
      </w:r>
      <w:proofErr w:type="spellStart"/>
      <w:r>
        <w:t>RoW</w:t>
      </w:r>
      <w:proofErr w:type="spellEnd"/>
      <w:r>
        <w:t xml:space="preserve"> to green DK/black </w:t>
      </w:r>
      <w:proofErr w:type="spellStart"/>
      <w:r>
        <w:t>RoW</w:t>
      </w:r>
      <w:proofErr w:type="spellEnd"/>
      <w:r>
        <w:t>) could be made for a selected number of storylines.</w:t>
      </w:r>
    </w:p>
    <w:p w14:paraId="4B3FB2A1" w14:textId="77777777" w:rsidR="00311210" w:rsidRDefault="00311210">
      <w:pPr>
        <w:spacing w:line="240" w:lineRule="auto"/>
        <w:rPr>
          <w:b/>
        </w:rPr>
      </w:pPr>
    </w:p>
    <w:p w14:paraId="4B8B6BB7" w14:textId="3E3594EE" w:rsidR="0027551C" w:rsidRPr="0027551C" w:rsidRDefault="0027551C">
      <w:pPr>
        <w:spacing w:line="240" w:lineRule="auto"/>
      </w:pPr>
      <w:r w:rsidRPr="0027551C">
        <w:t>Another challenge is the timing of introduction of policies and / or technologies.</w:t>
      </w:r>
      <w:r>
        <w:t xml:space="preserve"> Since the model can illustrate any year between 2010 and 2050, there are ample combinations of pol</w:t>
      </w:r>
      <w:r>
        <w:t>i</w:t>
      </w:r>
      <w:r>
        <w:t>cies and timing.  The user is thus also confronted with a choice on the timing of the introdu</w:t>
      </w:r>
      <w:r>
        <w:t>c</w:t>
      </w:r>
      <w:r>
        <w:t>tion. It should be noted that models like TIMES-DK are prone to corner solutions, so some care must be exerted on this topic.</w:t>
      </w:r>
    </w:p>
    <w:p w14:paraId="6388FED6" w14:textId="1828D1F6" w:rsidR="00BE6C68" w:rsidRDefault="00BE6C68">
      <w:pPr>
        <w:spacing w:line="240" w:lineRule="auto"/>
        <w:rPr>
          <w:b/>
        </w:rPr>
      </w:pPr>
      <w:r>
        <w:rPr>
          <w:b/>
        </w:rPr>
        <w:br w:type="page"/>
      </w:r>
    </w:p>
    <w:p w14:paraId="6EF8FDB8" w14:textId="080F5765" w:rsidR="00FA438A" w:rsidRDefault="00FA438A" w:rsidP="00876F81">
      <w:pPr>
        <w:pStyle w:val="Overskrift1"/>
      </w:pPr>
      <w:bookmarkStart w:id="16" w:name="_Toc405293366"/>
      <w:r>
        <w:lastRenderedPageBreak/>
        <w:t>Other assumptions important to Danish energy policies</w:t>
      </w:r>
      <w:bookmarkEnd w:id="16"/>
    </w:p>
    <w:p w14:paraId="4F9867BA" w14:textId="23046B27" w:rsidR="00FA438A" w:rsidRDefault="00FA438A" w:rsidP="00876F81"/>
    <w:p w14:paraId="24D02097" w14:textId="77777777" w:rsidR="00FA438A" w:rsidRDefault="00FA438A" w:rsidP="00876F81"/>
    <w:p w14:paraId="5745C9D6" w14:textId="659071B0" w:rsidR="00FA438A" w:rsidRPr="004D6020" w:rsidRDefault="00FA438A" w:rsidP="00876F81">
      <w:pPr>
        <w:pStyle w:val="Overskrift2"/>
      </w:pPr>
      <w:bookmarkStart w:id="17" w:name="_Toc405293367"/>
      <w:proofErr w:type="spellStart"/>
      <w:r w:rsidRPr="004D6020">
        <w:t>Intoduction</w:t>
      </w:r>
      <w:bookmarkEnd w:id="17"/>
      <w:proofErr w:type="spellEnd"/>
    </w:p>
    <w:p w14:paraId="69DE7EFB" w14:textId="629534E1" w:rsidR="004D6020" w:rsidRDefault="004D6020" w:rsidP="00876F81">
      <w:r>
        <w:t>In this section we describe which policy and technology handles that have already been intr</w:t>
      </w:r>
      <w:r>
        <w:t>o</w:t>
      </w:r>
      <w:r>
        <w:t>duced into the IntERACT model and which handles that can potentially be introduced.</w:t>
      </w:r>
    </w:p>
    <w:p w14:paraId="17BA5680" w14:textId="77777777" w:rsidR="004D6020" w:rsidRDefault="004D6020" w:rsidP="00876F81"/>
    <w:p w14:paraId="111A876A" w14:textId="57CE81EE" w:rsidR="004D6020" w:rsidRDefault="004D6020" w:rsidP="00876F81">
      <w:r w:rsidRPr="004D6020">
        <w:rPr>
          <w:highlight w:val="yellow"/>
        </w:rPr>
        <w:t xml:space="preserve">This </w:t>
      </w:r>
      <w:r>
        <w:rPr>
          <w:highlight w:val="yellow"/>
        </w:rPr>
        <w:t xml:space="preserve">section </w:t>
      </w:r>
      <w:r w:rsidRPr="004D6020">
        <w:rPr>
          <w:highlight w:val="yellow"/>
        </w:rPr>
        <w:t>is still work in progress. The project team would be grateful for contributions to the handles wished for …</w:t>
      </w:r>
    </w:p>
    <w:p w14:paraId="6C27AE8C" w14:textId="77777777" w:rsidR="00FA438A" w:rsidRPr="004D6020" w:rsidRDefault="00FA438A" w:rsidP="00876F81"/>
    <w:p w14:paraId="71666C63" w14:textId="0159110C" w:rsidR="00FA438A" w:rsidRDefault="00FA438A" w:rsidP="00876F81">
      <w:pPr>
        <w:pStyle w:val="Overskrift2"/>
      </w:pPr>
      <w:bookmarkStart w:id="18" w:name="_Toc405293368"/>
      <w:r w:rsidRPr="004D6020">
        <w:t>Modelling</w:t>
      </w:r>
      <w:bookmarkEnd w:id="18"/>
    </w:p>
    <w:p w14:paraId="3B15C331" w14:textId="4CE9677C" w:rsidR="004D6020" w:rsidRDefault="004D6020" w:rsidP="004D6020">
      <w:r>
        <w:t xml:space="preserve">The following </w:t>
      </w:r>
      <w:r w:rsidR="0027551C">
        <w:t xml:space="preserve">table illustrated the </w:t>
      </w:r>
      <w:r>
        <w:t xml:space="preserve">policy &amp; technology handles </w:t>
      </w:r>
      <w:r w:rsidR="0027551C">
        <w:t xml:space="preserve">that </w:t>
      </w:r>
      <w:r>
        <w:t>have been / are planned to be implemented in the IntERACT model</w:t>
      </w:r>
      <w:r w:rsidR="0027551C">
        <w:t xml:space="preserve">. </w:t>
      </w:r>
      <w:r w:rsidR="0027551C" w:rsidRPr="0027551C">
        <w:rPr>
          <w:highlight w:val="yellow"/>
        </w:rPr>
        <w:t>The table is work in progress and any inputs are much appreciated</w:t>
      </w:r>
      <w:r w:rsidR="0027551C">
        <w:t>.</w:t>
      </w:r>
    </w:p>
    <w:p w14:paraId="6E39829F" w14:textId="77777777" w:rsidR="004D6020" w:rsidRDefault="004D6020" w:rsidP="004D6020"/>
    <w:tbl>
      <w:tblPr>
        <w:tblStyle w:val="Tabel-Gitter"/>
        <w:tblW w:w="5000" w:type="pct"/>
        <w:tblLook w:val="04A0" w:firstRow="1" w:lastRow="0" w:firstColumn="1" w:lastColumn="0" w:noHBand="0" w:noVBand="1"/>
      </w:tblPr>
      <w:tblGrid>
        <w:gridCol w:w="2519"/>
        <w:gridCol w:w="3384"/>
        <w:gridCol w:w="3384"/>
      </w:tblGrid>
      <w:tr w:rsidR="0027551C" w14:paraId="5C0C246B" w14:textId="77777777" w:rsidTr="0027551C">
        <w:tc>
          <w:tcPr>
            <w:tcW w:w="1356" w:type="pct"/>
            <w:shd w:val="clear" w:color="auto" w:fill="D9D9D9" w:themeFill="background1" w:themeFillShade="D9"/>
          </w:tcPr>
          <w:p w14:paraId="74B476BD" w14:textId="77777777" w:rsidR="0027551C" w:rsidRDefault="0027551C" w:rsidP="004D6020"/>
        </w:tc>
        <w:tc>
          <w:tcPr>
            <w:tcW w:w="1822" w:type="pct"/>
            <w:shd w:val="clear" w:color="auto" w:fill="D9D9D9" w:themeFill="background1" w:themeFillShade="D9"/>
          </w:tcPr>
          <w:p w14:paraId="4A3C3416" w14:textId="1F996C14" w:rsidR="0027551C" w:rsidRPr="0027551C" w:rsidRDefault="0027551C" w:rsidP="004D6020">
            <w:pPr>
              <w:rPr>
                <w:b/>
              </w:rPr>
            </w:pPr>
            <w:r w:rsidRPr="0027551C">
              <w:rPr>
                <w:b/>
              </w:rPr>
              <w:t>Handles implemented</w:t>
            </w:r>
          </w:p>
        </w:tc>
        <w:tc>
          <w:tcPr>
            <w:tcW w:w="1822" w:type="pct"/>
            <w:shd w:val="clear" w:color="auto" w:fill="D9D9D9" w:themeFill="background1" w:themeFillShade="D9"/>
          </w:tcPr>
          <w:p w14:paraId="02A6FA8D" w14:textId="4CFA4E8D" w:rsidR="0027551C" w:rsidRPr="0027551C" w:rsidRDefault="0027551C" w:rsidP="004D6020">
            <w:pPr>
              <w:rPr>
                <w:b/>
              </w:rPr>
            </w:pPr>
            <w:r w:rsidRPr="0027551C">
              <w:rPr>
                <w:b/>
              </w:rPr>
              <w:t xml:space="preserve">Handles not </w:t>
            </w:r>
            <w:r>
              <w:rPr>
                <w:b/>
              </w:rPr>
              <w:t xml:space="preserve">(yet) </w:t>
            </w:r>
            <w:r w:rsidRPr="0027551C">
              <w:rPr>
                <w:b/>
              </w:rPr>
              <w:t>implemented</w:t>
            </w:r>
          </w:p>
        </w:tc>
      </w:tr>
      <w:tr w:rsidR="0027551C" w14:paraId="479130D9" w14:textId="77777777" w:rsidTr="0027551C">
        <w:tc>
          <w:tcPr>
            <w:tcW w:w="1356" w:type="pct"/>
          </w:tcPr>
          <w:p w14:paraId="58DE0266" w14:textId="30572BE0" w:rsidR="0027551C" w:rsidRDefault="0027551C" w:rsidP="004D6020">
            <w:r>
              <w:t>Supply side / utilities</w:t>
            </w:r>
          </w:p>
        </w:tc>
        <w:tc>
          <w:tcPr>
            <w:tcW w:w="1822" w:type="pct"/>
          </w:tcPr>
          <w:p w14:paraId="2EF6C6C4" w14:textId="77777777" w:rsidR="0027551C" w:rsidRDefault="0027551C" w:rsidP="004D6020">
            <w:r>
              <w:t>CO</w:t>
            </w:r>
            <w:r>
              <w:rPr>
                <w:rFonts w:ascii="Cambria Math" w:hAnsi="Cambria Math" w:cs="Cambria Math"/>
              </w:rPr>
              <w:t>₂</w:t>
            </w:r>
            <w:r>
              <w:t xml:space="preserve"> target</w:t>
            </w:r>
          </w:p>
          <w:p w14:paraId="0404CE20" w14:textId="77777777" w:rsidR="0027551C" w:rsidRDefault="0027551C" w:rsidP="004D6020">
            <w:r>
              <w:t>Wind power target</w:t>
            </w:r>
          </w:p>
          <w:p w14:paraId="580EE19D" w14:textId="6F9A52AF" w:rsidR="0027551C" w:rsidRDefault="0027551C" w:rsidP="004D6020">
            <w:r>
              <w:t>Biomass maximum import</w:t>
            </w:r>
          </w:p>
        </w:tc>
        <w:tc>
          <w:tcPr>
            <w:tcW w:w="1822" w:type="pct"/>
          </w:tcPr>
          <w:p w14:paraId="4DF226B7" w14:textId="7E21744A" w:rsidR="0027551C" w:rsidRDefault="0027551C" w:rsidP="0027551C"/>
        </w:tc>
      </w:tr>
      <w:tr w:rsidR="0027551C" w14:paraId="5F3E75B5" w14:textId="77777777" w:rsidTr="0027551C">
        <w:tc>
          <w:tcPr>
            <w:tcW w:w="1356" w:type="pct"/>
          </w:tcPr>
          <w:p w14:paraId="280BC8E7" w14:textId="4764583F" w:rsidR="0027551C" w:rsidRDefault="0027551C" w:rsidP="004D6020">
            <w:r>
              <w:t>Transport</w:t>
            </w:r>
          </w:p>
        </w:tc>
        <w:tc>
          <w:tcPr>
            <w:tcW w:w="1822" w:type="pct"/>
          </w:tcPr>
          <w:p w14:paraId="6727181D" w14:textId="59FF038D" w:rsidR="0027551C" w:rsidRDefault="00B36891" w:rsidP="004D6020">
            <w:r>
              <w:t>Biofuel blend targets</w:t>
            </w:r>
            <w:r w:rsidR="0027551C">
              <w:t>…</w:t>
            </w:r>
          </w:p>
        </w:tc>
        <w:tc>
          <w:tcPr>
            <w:tcW w:w="1822" w:type="pct"/>
          </w:tcPr>
          <w:p w14:paraId="23108F52" w14:textId="77777777" w:rsidR="0027551C" w:rsidRDefault="0027551C" w:rsidP="004D6020">
            <w:r>
              <w:t>Electric vehicle adoption</w:t>
            </w:r>
          </w:p>
          <w:p w14:paraId="61D4F457" w14:textId="44C722AF" w:rsidR="0027551C" w:rsidRDefault="0027551C" w:rsidP="004D6020">
            <w:r>
              <w:t>…</w:t>
            </w:r>
          </w:p>
        </w:tc>
      </w:tr>
      <w:tr w:rsidR="0027551C" w14:paraId="74746517" w14:textId="77777777" w:rsidTr="0027551C">
        <w:tc>
          <w:tcPr>
            <w:tcW w:w="1356" w:type="pct"/>
          </w:tcPr>
          <w:p w14:paraId="20DF1A54" w14:textId="42BEB4C2" w:rsidR="0027551C" w:rsidRDefault="0027551C" w:rsidP="004D6020">
            <w:r>
              <w:t>Energy efficiency</w:t>
            </w:r>
          </w:p>
        </w:tc>
        <w:tc>
          <w:tcPr>
            <w:tcW w:w="1822" w:type="pct"/>
          </w:tcPr>
          <w:p w14:paraId="2A01CF53" w14:textId="421CF017" w:rsidR="0027551C" w:rsidRDefault="0027551C" w:rsidP="004D6020">
            <w:r>
              <w:t>…</w:t>
            </w:r>
          </w:p>
        </w:tc>
        <w:tc>
          <w:tcPr>
            <w:tcW w:w="1822" w:type="pct"/>
          </w:tcPr>
          <w:p w14:paraId="227B6F95" w14:textId="310C7683" w:rsidR="0027551C" w:rsidRDefault="0027551C" w:rsidP="004D6020">
            <w:r>
              <w:t>…</w:t>
            </w:r>
          </w:p>
        </w:tc>
      </w:tr>
      <w:tr w:rsidR="0027551C" w14:paraId="23DFDE0E" w14:textId="77777777" w:rsidTr="0027551C">
        <w:tc>
          <w:tcPr>
            <w:tcW w:w="1356" w:type="pct"/>
          </w:tcPr>
          <w:p w14:paraId="7A367A71" w14:textId="29293FAF" w:rsidR="0027551C" w:rsidRDefault="0027551C" w:rsidP="004D6020">
            <w:r>
              <w:t>Macro economics</w:t>
            </w:r>
          </w:p>
        </w:tc>
        <w:tc>
          <w:tcPr>
            <w:tcW w:w="1822" w:type="pct"/>
          </w:tcPr>
          <w:p w14:paraId="571963C2" w14:textId="77777777" w:rsidR="0027551C" w:rsidRDefault="0027551C" w:rsidP="004D6020">
            <w:proofErr w:type="spellStart"/>
            <w:r>
              <w:t>Armington</w:t>
            </w:r>
            <w:proofErr w:type="spellEnd"/>
            <w:r>
              <w:t xml:space="preserve"> elasticities</w:t>
            </w:r>
          </w:p>
          <w:p w14:paraId="17042B27" w14:textId="0414E87D" w:rsidR="0027551C" w:rsidRDefault="0027551C" w:rsidP="004D6020">
            <w:proofErr w:type="spellStart"/>
            <w:r>
              <w:t>RoW</w:t>
            </w:r>
            <w:proofErr w:type="spellEnd"/>
            <w:r>
              <w:t xml:space="preserve"> regimes</w:t>
            </w:r>
          </w:p>
        </w:tc>
        <w:tc>
          <w:tcPr>
            <w:tcW w:w="1822" w:type="pct"/>
          </w:tcPr>
          <w:p w14:paraId="15F83270" w14:textId="77777777" w:rsidR="0027551C" w:rsidRDefault="0027551C" w:rsidP="004D6020"/>
        </w:tc>
      </w:tr>
    </w:tbl>
    <w:p w14:paraId="32F848C1" w14:textId="77777777" w:rsidR="004D6020" w:rsidRDefault="004D6020" w:rsidP="004D6020"/>
    <w:p w14:paraId="50EFAF3B" w14:textId="77777777" w:rsidR="00FA438A" w:rsidRPr="004D6020" w:rsidRDefault="00FA438A" w:rsidP="00876F81"/>
    <w:p w14:paraId="0DBE9881" w14:textId="77777777" w:rsidR="00FA438A" w:rsidRPr="004D6020" w:rsidRDefault="00FA438A" w:rsidP="00FA438A">
      <w:pPr>
        <w:pStyle w:val="Overskrift2"/>
      </w:pPr>
      <w:bookmarkStart w:id="19" w:name="_Toc405293369"/>
      <w:r w:rsidRPr="004D6020">
        <w:t>Challenges and assumptions</w:t>
      </w:r>
      <w:bookmarkEnd w:id="19"/>
    </w:p>
    <w:p w14:paraId="73269E9F" w14:textId="45F3532D" w:rsidR="00FA438A" w:rsidRDefault="0027551C" w:rsidP="00876F81">
      <w:r>
        <w:t>The main challenge here is to arrange scenarios in storylines such that the main policy co</w:t>
      </w:r>
      <w:r>
        <w:t>n</w:t>
      </w:r>
      <w:r>
        <w:t>cerns are illustrated in the best way possible.</w:t>
      </w:r>
    </w:p>
    <w:p w14:paraId="2BA01DF1" w14:textId="77777777" w:rsidR="00FA438A" w:rsidRPr="00876F81" w:rsidRDefault="00FA438A" w:rsidP="00876F81"/>
    <w:p w14:paraId="21CA06D1" w14:textId="236F770A" w:rsidR="00DB2639" w:rsidRDefault="00DB2639">
      <w:pPr>
        <w:spacing w:line="240" w:lineRule="auto"/>
        <w:rPr>
          <w:b/>
        </w:rPr>
      </w:pPr>
    </w:p>
    <w:sectPr w:rsidR="00DB2639" w:rsidSect="00F555CE">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381" w:right="1701" w:bottom="737" w:left="1134" w:header="709" w:footer="51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Kristoffer Steen Andersen" w:date="2014-12-16T15:16:00Z" w:initials="KSA">
    <w:p w14:paraId="00BD82EE" w14:textId="51969609" w:rsidR="007E48E5" w:rsidRPr="007E48E5" w:rsidRDefault="007E48E5">
      <w:pPr>
        <w:pStyle w:val="Kommentartekst"/>
        <w:rPr>
          <w:lang w:val="da-DK"/>
        </w:rPr>
      </w:pPr>
      <w:r>
        <w:rPr>
          <w:rStyle w:val="Kommentarhenvisning"/>
        </w:rPr>
        <w:annotationRef/>
      </w:r>
      <w:r w:rsidRPr="007E48E5">
        <w:rPr>
          <w:lang w:val="da-DK"/>
        </w:rPr>
        <w:t>Biomasse tilgæ</w:t>
      </w:r>
      <w:r w:rsidRPr="007E48E5">
        <w:rPr>
          <w:lang w:val="da-DK"/>
        </w:rPr>
        <w:t>n</w:t>
      </w:r>
      <w:r w:rsidRPr="007E48E5">
        <w:rPr>
          <w:lang w:val="da-DK"/>
        </w:rPr>
        <w:t xml:space="preserve">geligheden skal givetvis beskrives </w:t>
      </w:r>
      <w:proofErr w:type="spellStart"/>
      <w:r w:rsidRPr="007E48E5">
        <w:rPr>
          <w:lang w:val="da-DK"/>
        </w:rPr>
        <w:t>sep</w:t>
      </w:r>
      <w:r w:rsidRPr="007E48E5">
        <w:rPr>
          <w:lang w:val="da-DK"/>
        </w:rPr>
        <w:t>e</w:t>
      </w:r>
      <w:r w:rsidRPr="007E48E5">
        <w:rPr>
          <w:lang w:val="da-DK"/>
        </w:rPr>
        <w:t>rat</w:t>
      </w:r>
      <w:proofErr w:type="spellEnd"/>
      <w:r w:rsidRPr="007E48E5">
        <w:rPr>
          <w:lang w:val="da-DK"/>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C293C" w14:textId="77777777" w:rsidR="00F67DDE" w:rsidRDefault="00F67DDE">
      <w:r>
        <w:separator/>
      </w:r>
    </w:p>
  </w:endnote>
  <w:endnote w:type="continuationSeparator" w:id="0">
    <w:p w14:paraId="5CB7C4D3" w14:textId="77777777" w:rsidR="00F67DDE" w:rsidRDefault="00F6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D3D78" w14:textId="77777777" w:rsidR="0006069E" w:rsidRDefault="0006069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9CEA" w14:textId="77777777" w:rsidR="0006069E" w:rsidRDefault="0006069E">
    <w:pPr>
      <w:pStyle w:val="Sidefod"/>
    </w:pPr>
    <w:r>
      <w:tab/>
      <w:t xml:space="preserve">Page </w:t>
    </w:r>
    <w:r>
      <w:rPr>
        <w:rStyle w:val="Sidetal"/>
      </w:rPr>
      <w:fldChar w:fldCharType="begin"/>
    </w:r>
    <w:r>
      <w:rPr>
        <w:rStyle w:val="Sidetal"/>
      </w:rPr>
      <w:instrText xml:space="preserve"> PAGE </w:instrText>
    </w:r>
    <w:r>
      <w:rPr>
        <w:rStyle w:val="Sidetal"/>
      </w:rPr>
      <w:fldChar w:fldCharType="separate"/>
    </w:r>
    <w:r w:rsidR="00374938">
      <w:rPr>
        <w:rStyle w:val="Sidetal"/>
        <w:noProof/>
      </w:rPr>
      <w:t>2</w:t>
    </w:r>
    <w:r>
      <w:rPr>
        <w:rStyle w:val="Sidet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77507" w14:textId="77777777" w:rsidR="0006069E" w:rsidRPr="00451E65" w:rsidRDefault="0006069E" w:rsidP="00451E65">
    <w:pPr>
      <w:pStyle w:val="Sidefod"/>
    </w:pPr>
    <w:r>
      <w:rPr>
        <w:noProof/>
        <w:lang w:val="da-DK"/>
      </w:rPr>
      <w:drawing>
        <wp:anchor distT="0" distB="0" distL="114300" distR="114300" simplePos="0" relativeHeight="251658240" behindDoc="1" locked="0" layoutInCell="1" allowOverlap="1" wp14:anchorId="3CBC1105" wp14:editId="15E5BDD1">
          <wp:simplePos x="0" y="0"/>
          <wp:positionH relativeFrom="column">
            <wp:posOffset>-292735</wp:posOffset>
          </wp:positionH>
          <wp:positionV relativeFrom="paragraph">
            <wp:posOffset>-225425</wp:posOffset>
          </wp:positionV>
          <wp:extent cx="1386840" cy="487680"/>
          <wp:effectExtent l="19050" t="0" r="3810" b="0"/>
          <wp:wrapNone/>
          <wp:docPr id="22" name="Billede 22" descr="Klima- og energiministeriet">
            <a:hlinkClick xmlns:a="http://schemas.openxmlformats.org/drawingml/2006/main" r:id="rId1" tooltip="&quot;Til forsid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lima- og energiministeriet">
                    <a:hlinkClick r:id="rId1" tooltip="&quot;Til forsiden&quot;"/>
                  </pic:cNvPr>
                  <pic:cNvPicPr>
                    <a:picLocks noChangeAspect="1" noChangeArrowheads="1"/>
                  </pic:cNvPicPr>
                </pic:nvPicPr>
                <pic:blipFill>
                  <a:blip r:embed="rId2" r:link="rId3"/>
                  <a:srcRect/>
                  <a:stretch>
                    <a:fillRect/>
                  </a:stretch>
                </pic:blipFill>
                <pic:spPr bwMode="auto">
                  <a:xfrm>
                    <a:off x="0" y="0"/>
                    <a:ext cx="1386840" cy="48768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BF905" w14:textId="77777777" w:rsidR="00F67DDE" w:rsidRDefault="00F67DDE">
      <w:r>
        <w:separator/>
      </w:r>
    </w:p>
  </w:footnote>
  <w:footnote w:type="continuationSeparator" w:id="0">
    <w:p w14:paraId="07C4CF2A" w14:textId="77777777" w:rsidR="00F67DDE" w:rsidRDefault="00F67DDE">
      <w:r>
        <w:continuationSeparator/>
      </w:r>
    </w:p>
  </w:footnote>
  <w:footnote w:id="1">
    <w:p w14:paraId="68009BEA" w14:textId="513F360F" w:rsidR="0006069E" w:rsidRPr="00393C43" w:rsidRDefault="0006069E" w:rsidP="00393C43">
      <w:pPr>
        <w:pStyle w:val="Fodnotetekst"/>
      </w:pPr>
      <w:r>
        <w:rPr>
          <w:rStyle w:val="Fodnotehenvisning"/>
        </w:rPr>
        <w:footnoteRef/>
      </w:r>
      <w:r>
        <w:t xml:space="preserve"> "Analysis of biomass prices", 18-06-2013</w:t>
      </w:r>
    </w:p>
  </w:footnote>
  <w:footnote w:id="2">
    <w:p w14:paraId="4732E6C7" w14:textId="6E0A4E5B" w:rsidR="00925C54" w:rsidRPr="00925C54" w:rsidRDefault="00925C54">
      <w:pPr>
        <w:pStyle w:val="Fodnotetekst"/>
      </w:pPr>
      <w:r>
        <w:rPr>
          <w:rStyle w:val="Fodnotehenvisning"/>
        </w:rPr>
        <w:footnoteRef/>
      </w:r>
      <w:r>
        <w:t xml:space="preserve"> </w:t>
      </w:r>
      <w:r w:rsidRPr="00925C54">
        <w:t>Please note that increased costs of internationally traded goods and services may be an advantage to the Danish competitiveness, but at the same time might also be a socio-economic cost, as Danish imports become more e</w:t>
      </w:r>
      <w:r w:rsidRPr="00925C54">
        <w:t>x</w:t>
      </w:r>
      <w:r w:rsidRPr="00925C54">
        <w:t>pensive.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EE0CE" w14:textId="77777777" w:rsidR="0006069E" w:rsidRDefault="0006069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F0BBA" w14:textId="77777777" w:rsidR="0006069E" w:rsidRDefault="0006069E">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05506" w14:textId="77777777" w:rsidR="0006069E" w:rsidRDefault="0006069E">
    <w:pPr>
      <w:pStyle w:val="Sidehoved"/>
    </w:pPr>
    <w:r w:rsidRPr="006C1EA2">
      <w:rPr>
        <w:noProof/>
        <w:lang w:val="da-DK"/>
      </w:rPr>
      <w:drawing>
        <wp:anchor distT="0" distB="0" distL="114300" distR="114300" simplePos="0" relativeHeight="251660288" behindDoc="0" locked="0" layoutInCell="1" allowOverlap="1" wp14:anchorId="42F012D2" wp14:editId="0F0ED098">
          <wp:simplePos x="0" y="0"/>
          <wp:positionH relativeFrom="column">
            <wp:posOffset>-41910</wp:posOffset>
          </wp:positionH>
          <wp:positionV relativeFrom="paragraph">
            <wp:posOffset>-79710</wp:posOffset>
          </wp:positionV>
          <wp:extent cx="1983806" cy="793019"/>
          <wp:effectExtent l="0" t="0" r="0"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3806" cy="7930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216" behindDoc="0" locked="0" layoutInCell="1" allowOverlap="1" wp14:anchorId="46650394" wp14:editId="2C470CA0">
          <wp:simplePos x="0" y="0"/>
          <wp:positionH relativeFrom="column">
            <wp:posOffset>4000500</wp:posOffset>
          </wp:positionH>
          <wp:positionV relativeFrom="paragraph">
            <wp:posOffset>-81280</wp:posOffset>
          </wp:positionV>
          <wp:extent cx="2322195" cy="582930"/>
          <wp:effectExtent l="19050" t="0" r="1905" b="0"/>
          <wp:wrapNone/>
          <wp:docPr id="19" name="Billede 19" descr="Logou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uk_rgb"/>
                  <pic:cNvPicPr>
                    <a:picLocks noChangeAspect="1" noChangeArrowheads="1"/>
                  </pic:cNvPicPr>
                </pic:nvPicPr>
                <pic:blipFill>
                  <a:blip r:embed="rId2"/>
                  <a:srcRect/>
                  <a:stretch>
                    <a:fillRect/>
                  </a:stretch>
                </pic:blipFill>
                <pic:spPr bwMode="auto">
                  <a:xfrm>
                    <a:off x="0" y="0"/>
                    <a:ext cx="2322195" cy="5829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E29CC"/>
    <w:multiLevelType w:val="hybridMultilevel"/>
    <w:tmpl w:val="942E367A"/>
    <w:lvl w:ilvl="0" w:tplc="0406000B">
      <w:start w:val="28"/>
      <w:numFmt w:val="bullet"/>
      <w:lvlText w:val=""/>
      <w:lvlJc w:val="left"/>
      <w:pPr>
        <w:ind w:left="720" w:hanging="360"/>
      </w:pPr>
      <w:rPr>
        <w:rFonts w:ascii="Wingdings" w:eastAsia="Times New Roman" w:hAnsi="Wingdings"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60C0131"/>
    <w:multiLevelType w:val="hybridMultilevel"/>
    <w:tmpl w:val="E87A2240"/>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nsid w:val="1E09749B"/>
    <w:multiLevelType w:val="hybridMultilevel"/>
    <w:tmpl w:val="A62423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FF53175"/>
    <w:multiLevelType w:val="hybridMultilevel"/>
    <w:tmpl w:val="4022B5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2D0382D"/>
    <w:multiLevelType w:val="hybridMultilevel"/>
    <w:tmpl w:val="8760F0E0"/>
    <w:lvl w:ilvl="0" w:tplc="579EC98A">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686297E"/>
    <w:multiLevelType w:val="hybridMultilevel"/>
    <w:tmpl w:val="A62423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390D64DE"/>
    <w:multiLevelType w:val="hybridMultilevel"/>
    <w:tmpl w:val="CFC42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40422D"/>
    <w:multiLevelType w:val="hybridMultilevel"/>
    <w:tmpl w:val="2D5202A6"/>
    <w:lvl w:ilvl="0" w:tplc="04060001">
      <w:start w:val="450"/>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4F3662D"/>
    <w:multiLevelType w:val="hybridMultilevel"/>
    <w:tmpl w:val="8FDA4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107869"/>
    <w:multiLevelType w:val="hybridMultilevel"/>
    <w:tmpl w:val="30A6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5A428C"/>
    <w:multiLevelType w:val="hybridMultilevel"/>
    <w:tmpl w:val="6C8A66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B01799B"/>
    <w:multiLevelType w:val="hybridMultilevel"/>
    <w:tmpl w:val="A62423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650D7B2C"/>
    <w:multiLevelType w:val="hybridMultilevel"/>
    <w:tmpl w:val="A19EAFF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52337DE"/>
    <w:multiLevelType w:val="hybridMultilevel"/>
    <w:tmpl w:val="F964FD1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1"/>
  </w:num>
  <w:num w:numId="4">
    <w:abstractNumId w:val="1"/>
  </w:num>
  <w:num w:numId="5">
    <w:abstractNumId w:val="3"/>
  </w:num>
  <w:num w:numId="6">
    <w:abstractNumId w:val="5"/>
  </w:num>
  <w:num w:numId="7">
    <w:abstractNumId w:val="2"/>
  </w:num>
  <w:num w:numId="8">
    <w:abstractNumId w:val="4"/>
  </w:num>
  <w:num w:numId="9">
    <w:abstractNumId w:val="9"/>
  </w:num>
  <w:num w:numId="10">
    <w:abstractNumId w:val="8"/>
  </w:num>
  <w:num w:numId="11">
    <w:abstractNumId w:val="6"/>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1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4B07"/>
    <w:rsid w:val="000007A3"/>
    <w:rsid w:val="00007DBB"/>
    <w:rsid w:val="00016450"/>
    <w:rsid w:val="000214BA"/>
    <w:rsid w:val="00024BC4"/>
    <w:rsid w:val="0006069E"/>
    <w:rsid w:val="00062050"/>
    <w:rsid w:val="00077E1F"/>
    <w:rsid w:val="000937EC"/>
    <w:rsid w:val="000948FA"/>
    <w:rsid w:val="00094B07"/>
    <w:rsid w:val="00095CB5"/>
    <w:rsid w:val="000A5DCF"/>
    <w:rsid w:val="000D4ABF"/>
    <w:rsid w:val="000D7C1B"/>
    <w:rsid w:val="000E0BB5"/>
    <w:rsid w:val="000F6153"/>
    <w:rsid w:val="00107488"/>
    <w:rsid w:val="00112FC2"/>
    <w:rsid w:val="00135E12"/>
    <w:rsid w:val="0015300C"/>
    <w:rsid w:val="00174F28"/>
    <w:rsid w:val="001D2DBB"/>
    <w:rsid w:val="001E7D41"/>
    <w:rsid w:val="001F6AC1"/>
    <w:rsid w:val="00201D0B"/>
    <w:rsid w:val="002165DC"/>
    <w:rsid w:val="00217391"/>
    <w:rsid w:val="002407FA"/>
    <w:rsid w:val="002463BA"/>
    <w:rsid w:val="0025449E"/>
    <w:rsid w:val="0027077A"/>
    <w:rsid w:val="002748BC"/>
    <w:rsid w:val="0027551C"/>
    <w:rsid w:val="002D2DA7"/>
    <w:rsid w:val="002D373D"/>
    <w:rsid w:val="002F1C9B"/>
    <w:rsid w:val="00311210"/>
    <w:rsid w:val="00311C1E"/>
    <w:rsid w:val="00312F10"/>
    <w:rsid w:val="00325F38"/>
    <w:rsid w:val="00340395"/>
    <w:rsid w:val="003435D0"/>
    <w:rsid w:val="00347ACA"/>
    <w:rsid w:val="003507B5"/>
    <w:rsid w:val="00365983"/>
    <w:rsid w:val="00374938"/>
    <w:rsid w:val="003928FD"/>
    <w:rsid w:val="00393C43"/>
    <w:rsid w:val="00394D04"/>
    <w:rsid w:val="003A5669"/>
    <w:rsid w:val="003B3CA9"/>
    <w:rsid w:val="003B6352"/>
    <w:rsid w:val="003D099A"/>
    <w:rsid w:val="00412BBD"/>
    <w:rsid w:val="00435E06"/>
    <w:rsid w:val="0043682E"/>
    <w:rsid w:val="00437BD0"/>
    <w:rsid w:val="00451E65"/>
    <w:rsid w:val="00455100"/>
    <w:rsid w:val="004D6020"/>
    <w:rsid w:val="00530E3D"/>
    <w:rsid w:val="00531324"/>
    <w:rsid w:val="005452AE"/>
    <w:rsid w:val="00556528"/>
    <w:rsid w:val="00561AD1"/>
    <w:rsid w:val="00570185"/>
    <w:rsid w:val="00592F7F"/>
    <w:rsid w:val="005B1FB4"/>
    <w:rsid w:val="005B5BE8"/>
    <w:rsid w:val="00645C77"/>
    <w:rsid w:val="0066681E"/>
    <w:rsid w:val="00684AB3"/>
    <w:rsid w:val="00684FAC"/>
    <w:rsid w:val="00691AB9"/>
    <w:rsid w:val="00695473"/>
    <w:rsid w:val="0069729D"/>
    <w:rsid w:val="006B601C"/>
    <w:rsid w:val="006D011C"/>
    <w:rsid w:val="007121D1"/>
    <w:rsid w:val="00727809"/>
    <w:rsid w:val="00736CC0"/>
    <w:rsid w:val="00760997"/>
    <w:rsid w:val="00765D97"/>
    <w:rsid w:val="007809FD"/>
    <w:rsid w:val="0078142C"/>
    <w:rsid w:val="0079036E"/>
    <w:rsid w:val="007A236F"/>
    <w:rsid w:val="007D0A8D"/>
    <w:rsid w:val="007D7647"/>
    <w:rsid w:val="007E1309"/>
    <w:rsid w:val="007E48E5"/>
    <w:rsid w:val="007E4A6A"/>
    <w:rsid w:val="007F4833"/>
    <w:rsid w:val="008134F7"/>
    <w:rsid w:val="008155EA"/>
    <w:rsid w:val="00825F33"/>
    <w:rsid w:val="00827528"/>
    <w:rsid w:val="00831E6F"/>
    <w:rsid w:val="0085314E"/>
    <w:rsid w:val="00865C96"/>
    <w:rsid w:val="00872954"/>
    <w:rsid w:val="00876F81"/>
    <w:rsid w:val="008A4771"/>
    <w:rsid w:val="008A4CB5"/>
    <w:rsid w:val="008D2473"/>
    <w:rsid w:val="008E61C5"/>
    <w:rsid w:val="0090433F"/>
    <w:rsid w:val="0090466A"/>
    <w:rsid w:val="00925C54"/>
    <w:rsid w:val="0093370F"/>
    <w:rsid w:val="009431A9"/>
    <w:rsid w:val="0097629F"/>
    <w:rsid w:val="009926BE"/>
    <w:rsid w:val="009A0ADE"/>
    <w:rsid w:val="009A2834"/>
    <w:rsid w:val="009D1AEC"/>
    <w:rsid w:val="009E43AC"/>
    <w:rsid w:val="009E7473"/>
    <w:rsid w:val="00A061CA"/>
    <w:rsid w:val="00A0668A"/>
    <w:rsid w:val="00A150EE"/>
    <w:rsid w:val="00A2070B"/>
    <w:rsid w:val="00A2464B"/>
    <w:rsid w:val="00A30F4D"/>
    <w:rsid w:val="00A379AB"/>
    <w:rsid w:val="00A6761B"/>
    <w:rsid w:val="00A7640A"/>
    <w:rsid w:val="00A94238"/>
    <w:rsid w:val="00AA1BD7"/>
    <w:rsid w:val="00AB0B9C"/>
    <w:rsid w:val="00AB7006"/>
    <w:rsid w:val="00AC0E64"/>
    <w:rsid w:val="00AC21BE"/>
    <w:rsid w:val="00AD1D77"/>
    <w:rsid w:val="00AF46AF"/>
    <w:rsid w:val="00AF5942"/>
    <w:rsid w:val="00B2086B"/>
    <w:rsid w:val="00B26550"/>
    <w:rsid w:val="00B30852"/>
    <w:rsid w:val="00B36891"/>
    <w:rsid w:val="00B405DA"/>
    <w:rsid w:val="00B4340A"/>
    <w:rsid w:val="00B5553C"/>
    <w:rsid w:val="00B5790F"/>
    <w:rsid w:val="00B629A6"/>
    <w:rsid w:val="00B642AA"/>
    <w:rsid w:val="00B71B29"/>
    <w:rsid w:val="00B77489"/>
    <w:rsid w:val="00BA4B1C"/>
    <w:rsid w:val="00BC4A9F"/>
    <w:rsid w:val="00BE6C68"/>
    <w:rsid w:val="00BF029D"/>
    <w:rsid w:val="00C00B8E"/>
    <w:rsid w:val="00C07383"/>
    <w:rsid w:val="00C24801"/>
    <w:rsid w:val="00C430CD"/>
    <w:rsid w:val="00C52FDD"/>
    <w:rsid w:val="00C7771E"/>
    <w:rsid w:val="00CB473E"/>
    <w:rsid w:val="00CC25B6"/>
    <w:rsid w:val="00CC64FA"/>
    <w:rsid w:val="00CD3669"/>
    <w:rsid w:val="00CD69A3"/>
    <w:rsid w:val="00CE2397"/>
    <w:rsid w:val="00D324E1"/>
    <w:rsid w:val="00D52EED"/>
    <w:rsid w:val="00D70505"/>
    <w:rsid w:val="00D74C22"/>
    <w:rsid w:val="00D81B82"/>
    <w:rsid w:val="00D83E38"/>
    <w:rsid w:val="00DB2639"/>
    <w:rsid w:val="00DC178B"/>
    <w:rsid w:val="00DD38C7"/>
    <w:rsid w:val="00DD6E96"/>
    <w:rsid w:val="00E245A4"/>
    <w:rsid w:val="00E30F65"/>
    <w:rsid w:val="00E3407B"/>
    <w:rsid w:val="00E54EE2"/>
    <w:rsid w:val="00E567CC"/>
    <w:rsid w:val="00E608FC"/>
    <w:rsid w:val="00E60AE3"/>
    <w:rsid w:val="00E6404D"/>
    <w:rsid w:val="00E6408D"/>
    <w:rsid w:val="00E85C10"/>
    <w:rsid w:val="00ED5406"/>
    <w:rsid w:val="00ED7D10"/>
    <w:rsid w:val="00EF6B43"/>
    <w:rsid w:val="00F17006"/>
    <w:rsid w:val="00F555CE"/>
    <w:rsid w:val="00F62F7B"/>
    <w:rsid w:val="00F631F1"/>
    <w:rsid w:val="00F67DDE"/>
    <w:rsid w:val="00FA2027"/>
    <w:rsid w:val="00FA438A"/>
    <w:rsid w:val="00FA69FD"/>
    <w:rsid w:val="00FB357C"/>
    <w:rsid w:val="00FC6379"/>
    <w:rsid w:val="00FF30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A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B29"/>
    <w:pPr>
      <w:spacing w:line="280" w:lineRule="atLeast"/>
    </w:pPr>
    <w:rPr>
      <w:sz w:val="24"/>
      <w:szCs w:val="24"/>
      <w:lang w:val="en-GB"/>
    </w:rPr>
  </w:style>
  <w:style w:type="paragraph" w:styleId="Overskrift1">
    <w:name w:val="heading 1"/>
    <w:basedOn w:val="Normal"/>
    <w:next w:val="Normal"/>
    <w:qFormat/>
    <w:rsid w:val="002463BA"/>
    <w:pPr>
      <w:keepNext/>
      <w:outlineLvl w:val="0"/>
    </w:pPr>
    <w:rPr>
      <w:rFonts w:cs="Arial"/>
      <w:b/>
      <w:bCs/>
      <w:sz w:val="32"/>
    </w:rPr>
  </w:style>
  <w:style w:type="paragraph" w:styleId="Overskrift2">
    <w:name w:val="heading 2"/>
    <w:basedOn w:val="Normal"/>
    <w:next w:val="Normal"/>
    <w:qFormat/>
    <w:rsid w:val="00D324E1"/>
    <w:pPr>
      <w:keepNext/>
      <w:outlineLvl w:val="1"/>
    </w:pPr>
    <w:rPr>
      <w:b/>
      <w:bCs/>
    </w:rPr>
  </w:style>
  <w:style w:type="paragraph" w:styleId="Overskrift3">
    <w:name w:val="heading 3"/>
    <w:basedOn w:val="Normal"/>
    <w:next w:val="Normal"/>
    <w:link w:val="Overskrift3Tegn"/>
    <w:unhideWhenUsed/>
    <w:qFormat/>
    <w:rsid w:val="00FA438A"/>
    <w:pPr>
      <w:keepNext/>
      <w:keepLines/>
      <w:spacing w:before="40"/>
      <w:outlineLvl w:val="2"/>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D324E1"/>
    <w:pPr>
      <w:tabs>
        <w:tab w:val="center" w:pos="4819"/>
        <w:tab w:val="right" w:pos="9638"/>
      </w:tabs>
    </w:pPr>
  </w:style>
  <w:style w:type="paragraph" w:styleId="Sidefod">
    <w:name w:val="footer"/>
    <w:basedOn w:val="Normal-Infotekst"/>
    <w:rsid w:val="00D324E1"/>
    <w:pPr>
      <w:tabs>
        <w:tab w:val="right" w:pos="9072"/>
      </w:tabs>
    </w:pPr>
  </w:style>
  <w:style w:type="paragraph" w:styleId="Brdtekst">
    <w:name w:val="Body Text"/>
    <w:basedOn w:val="Normal"/>
    <w:semiHidden/>
    <w:rsid w:val="00D324E1"/>
    <w:rPr>
      <w:rFonts w:ascii="Arial" w:hAnsi="Arial" w:cs="Arial"/>
      <w:color w:val="EF9213"/>
      <w:sz w:val="16"/>
    </w:rPr>
  </w:style>
  <w:style w:type="character" w:styleId="Sidetal">
    <w:name w:val="page number"/>
    <w:basedOn w:val="Standardskrifttypeiafsnit"/>
    <w:rsid w:val="00D324E1"/>
  </w:style>
  <w:style w:type="paragraph" w:styleId="Brdtekst2">
    <w:name w:val="Body Text 2"/>
    <w:basedOn w:val="Normal"/>
    <w:semiHidden/>
    <w:rsid w:val="00D324E1"/>
    <w:pPr>
      <w:framePr w:wrap="auto" w:vAnchor="page" w:hAnchor="text" w:y="9640"/>
      <w:suppressOverlap/>
    </w:pPr>
  </w:style>
  <w:style w:type="paragraph" w:customStyle="1" w:styleId="Template-Firmainfo">
    <w:name w:val="Template - Firma info"/>
    <w:basedOn w:val="Template"/>
    <w:rsid w:val="00D324E1"/>
    <w:pPr>
      <w:tabs>
        <w:tab w:val="left" w:pos="510"/>
      </w:tabs>
      <w:spacing w:line="200" w:lineRule="exact"/>
    </w:pPr>
    <w:rPr>
      <w:color w:val="939397"/>
    </w:rPr>
  </w:style>
  <w:style w:type="paragraph" w:customStyle="1" w:styleId="Template-Firmainfohoved">
    <w:name w:val="Template - Firma info hoved"/>
    <w:basedOn w:val="Template"/>
    <w:rsid w:val="00D81B82"/>
    <w:pPr>
      <w:spacing w:line="200" w:lineRule="exact"/>
    </w:pPr>
    <w:rPr>
      <w:b/>
      <w:color w:val="EE7708"/>
    </w:rPr>
  </w:style>
  <w:style w:type="paragraph" w:customStyle="1" w:styleId="Template-Firmainfofod">
    <w:name w:val="Template - Firma info fod"/>
    <w:basedOn w:val="Template"/>
    <w:rsid w:val="00B77489"/>
    <w:rPr>
      <w:color w:val="EE7708"/>
      <w:szCs w:val="15"/>
    </w:rPr>
  </w:style>
  <w:style w:type="paragraph" w:customStyle="1" w:styleId="Normal-Infotekst">
    <w:name w:val="Normal - Info tekst"/>
    <w:basedOn w:val="Normal"/>
    <w:rsid w:val="00D324E1"/>
    <w:rPr>
      <w:sz w:val="20"/>
    </w:rPr>
  </w:style>
  <w:style w:type="paragraph" w:customStyle="1" w:styleId="Normal-Stillingsbetegnelse">
    <w:name w:val="Normal - Stillingsbetegnelse"/>
    <w:basedOn w:val="Normal"/>
    <w:rsid w:val="00D324E1"/>
    <w:rPr>
      <w:i/>
    </w:rPr>
  </w:style>
  <w:style w:type="paragraph" w:customStyle="1" w:styleId="Template">
    <w:name w:val="Template"/>
    <w:basedOn w:val="Normal"/>
    <w:rsid w:val="00174F28"/>
    <w:rPr>
      <w:rFonts w:ascii="Verdana" w:hAnsi="Verdana"/>
      <w:noProof/>
      <w:sz w:val="15"/>
    </w:rPr>
  </w:style>
  <w:style w:type="table" w:styleId="Tabel-Gitter">
    <w:name w:val="Table Grid"/>
    <w:basedOn w:val="Tabel-Normal"/>
    <w:rsid w:val="00F555C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DokumentNavn">
    <w:name w:val="Normal - Dokument Navn"/>
    <w:basedOn w:val="Normal"/>
    <w:rsid w:val="0093370F"/>
    <w:rPr>
      <w:rFonts w:ascii="Arial" w:hAnsi="Arial"/>
      <w:b/>
      <w:caps/>
    </w:rPr>
  </w:style>
  <w:style w:type="paragraph" w:styleId="Markeringsbobletekst">
    <w:name w:val="Balloon Text"/>
    <w:basedOn w:val="Normal"/>
    <w:link w:val="MarkeringsbobletekstTegn"/>
    <w:rsid w:val="0001645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rsid w:val="00016450"/>
    <w:rPr>
      <w:rFonts w:ascii="Tahoma" w:hAnsi="Tahoma" w:cs="Tahoma"/>
      <w:sz w:val="16"/>
      <w:szCs w:val="16"/>
      <w:lang w:val="en-GB"/>
    </w:rPr>
  </w:style>
  <w:style w:type="character" w:styleId="Kommentarhenvisning">
    <w:name w:val="annotation reference"/>
    <w:basedOn w:val="Standardskrifttypeiafsnit"/>
    <w:rsid w:val="00094B07"/>
    <w:rPr>
      <w:sz w:val="16"/>
      <w:szCs w:val="16"/>
    </w:rPr>
  </w:style>
  <w:style w:type="paragraph" w:styleId="Kommentartekst">
    <w:name w:val="annotation text"/>
    <w:basedOn w:val="Normal"/>
    <w:link w:val="KommentartekstTegn"/>
    <w:rsid w:val="00094B07"/>
    <w:pPr>
      <w:spacing w:line="240" w:lineRule="auto"/>
    </w:pPr>
    <w:rPr>
      <w:sz w:val="20"/>
      <w:szCs w:val="20"/>
    </w:rPr>
  </w:style>
  <w:style w:type="character" w:customStyle="1" w:styleId="KommentartekstTegn">
    <w:name w:val="Kommentartekst Tegn"/>
    <w:basedOn w:val="Standardskrifttypeiafsnit"/>
    <w:link w:val="Kommentartekst"/>
    <w:rsid w:val="00094B07"/>
    <w:rPr>
      <w:lang w:val="en-GB"/>
    </w:rPr>
  </w:style>
  <w:style w:type="paragraph" w:styleId="Kommentaremne">
    <w:name w:val="annotation subject"/>
    <w:basedOn w:val="Kommentartekst"/>
    <w:next w:val="Kommentartekst"/>
    <w:link w:val="KommentaremneTegn"/>
    <w:rsid w:val="00094B07"/>
    <w:rPr>
      <w:b/>
      <w:bCs/>
    </w:rPr>
  </w:style>
  <w:style w:type="character" w:customStyle="1" w:styleId="KommentaremneTegn">
    <w:name w:val="Kommentaremne Tegn"/>
    <w:basedOn w:val="KommentartekstTegn"/>
    <w:link w:val="Kommentaremne"/>
    <w:rsid w:val="00094B07"/>
    <w:rPr>
      <w:b/>
      <w:bCs/>
      <w:lang w:val="en-GB"/>
    </w:rPr>
  </w:style>
  <w:style w:type="paragraph" w:styleId="Listeafsnit">
    <w:name w:val="List Paragraph"/>
    <w:basedOn w:val="Normal"/>
    <w:uiPriority w:val="34"/>
    <w:qFormat/>
    <w:rsid w:val="008134F7"/>
    <w:pPr>
      <w:ind w:left="720"/>
      <w:contextualSpacing/>
    </w:pPr>
  </w:style>
  <w:style w:type="character" w:customStyle="1" w:styleId="Overskrift3Tegn">
    <w:name w:val="Overskrift 3 Tegn"/>
    <w:basedOn w:val="Standardskrifttypeiafsnit"/>
    <w:link w:val="Overskrift3"/>
    <w:rsid w:val="00FA438A"/>
    <w:rPr>
      <w:rFonts w:asciiTheme="majorHAnsi" w:eastAsiaTheme="majorEastAsia" w:hAnsiTheme="majorHAnsi" w:cstheme="majorBidi"/>
      <w:color w:val="243F60" w:themeColor="accent1" w:themeShade="7F"/>
      <w:sz w:val="24"/>
      <w:szCs w:val="24"/>
      <w:lang w:val="en-GB"/>
    </w:rPr>
  </w:style>
  <w:style w:type="paragraph" w:styleId="Overskrift">
    <w:name w:val="TOC Heading"/>
    <w:basedOn w:val="Overskrift1"/>
    <w:next w:val="Normal"/>
    <w:uiPriority w:val="39"/>
    <w:unhideWhenUsed/>
    <w:qFormat/>
    <w:rsid w:val="00876F81"/>
    <w:pPr>
      <w:keepLines/>
      <w:spacing w:before="240" w:line="259" w:lineRule="auto"/>
      <w:outlineLvl w:val="9"/>
    </w:pPr>
    <w:rPr>
      <w:rFonts w:asciiTheme="majorHAnsi" w:eastAsiaTheme="majorEastAsia" w:hAnsiTheme="majorHAnsi" w:cstheme="majorBidi"/>
      <w:b w:val="0"/>
      <w:bCs w:val="0"/>
      <w:color w:val="365F91" w:themeColor="accent1" w:themeShade="BF"/>
      <w:szCs w:val="32"/>
      <w:lang w:val="en-US" w:eastAsia="en-US"/>
    </w:rPr>
  </w:style>
  <w:style w:type="paragraph" w:styleId="Indholdsfortegnelse1">
    <w:name w:val="toc 1"/>
    <w:basedOn w:val="Normal"/>
    <w:next w:val="Normal"/>
    <w:autoRedefine/>
    <w:uiPriority w:val="39"/>
    <w:unhideWhenUsed/>
    <w:rsid w:val="00876F81"/>
    <w:pPr>
      <w:spacing w:after="100"/>
    </w:pPr>
  </w:style>
  <w:style w:type="paragraph" w:styleId="Indholdsfortegnelse2">
    <w:name w:val="toc 2"/>
    <w:basedOn w:val="Normal"/>
    <w:next w:val="Normal"/>
    <w:autoRedefine/>
    <w:uiPriority w:val="39"/>
    <w:unhideWhenUsed/>
    <w:rsid w:val="00876F81"/>
    <w:pPr>
      <w:spacing w:after="100"/>
      <w:ind w:left="240"/>
    </w:pPr>
  </w:style>
  <w:style w:type="character" w:styleId="Hyperlink">
    <w:name w:val="Hyperlink"/>
    <w:basedOn w:val="Standardskrifttypeiafsnit"/>
    <w:uiPriority w:val="99"/>
    <w:unhideWhenUsed/>
    <w:rsid w:val="00876F81"/>
    <w:rPr>
      <w:color w:val="0000FF" w:themeColor="hyperlink"/>
      <w:u w:val="single"/>
    </w:rPr>
  </w:style>
  <w:style w:type="paragraph" w:styleId="Billedtekst">
    <w:name w:val="caption"/>
    <w:basedOn w:val="Normal"/>
    <w:next w:val="Normal"/>
    <w:unhideWhenUsed/>
    <w:qFormat/>
    <w:rsid w:val="002D373D"/>
    <w:pPr>
      <w:spacing w:after="200" w:line="240" w:lineRule="auto"/>
    </w:pPr>
    <w:rPr>
      <w:b/>
      <w:bCs/>
      <w:color w:val="4F81BD" w:themeColor="accent1"/>
      <w:sz w:val="18"/>
      <w:szCs w:val="18"/>
    </w:rPr>
  </w:style>
  <w:style w:type="paragraph" w:styleId="Fodnotetekst">
    <w:name w:val="footnote text"/>
    <w:basedOn w:val="Normal"/>
    <w:link w:val="FodnotetekstTegn"/>
    <w:semiHidden/>
    <w:unhideWhenUsed/>
    <w:rsid w:val="00393C43"/>
    <w:pPr>
      <w:spacing w:line="240" w:lineRule="auto"/>
    </w:pPr>
    <w:rPr>
      <w:sz w:val="20"/>
      <w:szCs w:val="20"/>
    </w:rPr>
  </w:style>
  <w:style w:type="character" w:customStyle="1" w:styleId="FodnotetekstTegn">
    <w:name w:val="Fodnotetekst Tegn"/>
    <w:basedOn w:val="Standardskrifttypeiafsnit"/>
    <w:link w:val="Fodnotetekst"/>
    <w:semiHidden/>
    <w:rsid w:val="00393C43"/>
    <w:rPr>
      <w:lang w:val="en-GB"/>
    </w:rPr>
  </w:style>
  <w:style w:type="character" w:styleId="Fodnotehenvisning">
    <w:name w:val="footnote reference"/>
    <w:basedOn w:val="Standardskrifttypeiafsnit"/>
    <w:semiHidden/>
    <w:unhideWhenUsed/>
    <w:rsid w:val="00393C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0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image" Target="http://www.kemin.dk/PublishingImages/Forside/keminlogo_uk.gif" TargetMode="External"/><Relationship Id="rId2" Type="http://schemas.openxmlformats.org/officeDocument/2006/relationships/image" Target="media/image3.gif"/><Relationship Id="rId1" Type="http://schemas.openxmlformats.org/officeDocument/2006/relationships/hyperlink" Target="http://www.kemin.dk/en-U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3206\Desktop\IntERACT%20word-skabelon%20UK2.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6712A-354A-4F61-81BE-FB8DB2A8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IntERACT word-skabelon UK2.dotm</Template>
  <TotalTime>0</TotalTime>
  <Pages>10</Pages>
  <Words>2745</Words>
  <Characters>16746</Characters>
  <Application>Microsoft Office Word</Application>
  <DocSecurity>0</DocSecurity>
  <Lines>139</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19453</CharactersWithSpaces>
  <SharedDoc>false</SharedDoc>
  <HLinks>
    <vt:vector size="12" baseType="variant">
      <vt:variant>
        <vt:i4>1245265</vt:i4>
      </vt:variant>
      <vt:variant>
        <vt:i4>-1</vt:i4>
      </vt:variant>
      <vt:variant>
        <vt:i4>2070</vt:i4>
      </vt:variant>
      <vt:variant>
        <vt:i4>4</vt:i4>
      </vt:variant>
      <vt:variant>
        <vt:lpwstr>http://www.kemin.dk/en-US</vt:lpwstr>
      </vt:variant>
      <vt:variant>
        <vt:lpwstr/>
      </vt:variant>
      <vt:variant>
        <vt:i4>5701669</vt:i4>
      </vt:variant>
      <vt:variant>
        <vt:i4>-1</vt:i4>
      </vt:variant>
      <vt:variant>
        <vt:i4>2070</vt:i4>
      </vt:variant>
      <vt:variant>
        <vt:i4>1</vt:i4>
      </vt:variant>
      <vt:variant>
        <vt:lpwstr>http://www.kemin.dk/PublishingImages/Forside/keminlogo_uk.gif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 Steen Andersen</dc:creator>
  <cp:lastModifiedBy>Kristoffer Steen Andersen</cp:lastModifiedBy>
  <cp:revision>2</cp:revision>
  <cp:lastPrinted>2014-09-12T11:20:00Z</cp:lastPrinted>
  <dcterms:created xsi:type="dcterms:W3CDTF">2015-01-16T15:47:00Z</dcterms:created>
  <dcterms:modified xsi:type="dcterms:W3CDTF">2015-01-16T15:47:00Z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-2080458376</vt:i4>
  </property>
  <property fmtid="{D5CDD505-2E9C-101B-9397-08002B2CF9AE}" pid="3" name="_NewReviewCycle">
    <vt:lpwstr/>
  </property>
  <property fmtid="{D5CDD505-2E9C-101B-9397-08002B2CF9AE}" pid="4" name="_EmailSubject">
    <vt:lpwstr>Scenario notat</vt:lpwstr>
  </property>
  <property fmtid="{D5CDD505-2E9C-101B-9397-08002B2CF9AE}" pid="5" name="_AuthorEmail">
    <vt:lpwstr>MIKR@cowi.dk</vt:lpwstr>
  </property>
  <property fmtid="{D5CDD505-2E9C-101B-9397-08002B2CF9AE}" pid="6" name="_AuthorEmailDisplayName">
    <vt:lpwstr>Mikkel A. Kromann</vt:lpwstr>
  </property>
  <property fmtid="{D5CDD505-2E9C-101B-9397-08002B2CF9AE}" pid="7" name="_ReviewingToolsShownOnce">
    <vt:lpwstr/>
  </property>
</Properties>
</file>