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Studies (J)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Effects (K)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Studies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Effects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Context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Australia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Austria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Canada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Corea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Finland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Germany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Ireland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Italy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Japan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Netherlands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Norway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Turkey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UK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US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Outcome measure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25.7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General mental health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69.0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Symptoms of psychosis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Diagnosis in sample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Schizophrenia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Intervention type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CBT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Preregistration status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preregistered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43.1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Preregistered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Outlet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Journal article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Research design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QES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11.8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RCT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81.0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88.2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Test type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Clinician-rated measure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28.5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Self-reported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Analysis strategy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ITT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47.9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Control group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Individual treatment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TAU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66.7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TAU with Waiting-list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Waiting-list only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7.1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 risk of bias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Low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25.0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Some concerns/Moderate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47.6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54.9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Serious/High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Timing of measurement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Short-term measure (&lt; 52 weeks)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Effect size metric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Pre-posttest adj. ES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Handles multilevel structure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97.2</w:t>
            </w:r>
          </w:p>
        </w:tc>
      </w:tr>
      <w:tr>
        <w:trPr>
          <w:cantSplit/>
        </w:trPr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WHITE"/>
              <w:bottom w:val="single" w:space="0" w:color="WHITE"/>
              <w:start w:val="single" w:space="0" w:color="WHITE"/>
              <w:end w:val="single" w:space="0" w:color="WHITE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2025-10-08T12:20:03Z</dcterms:created>
  <dcterms:modified xsi:type="dcterms:W3CDTF">2025-10-08T12:20:03Z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