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Subgroup analyses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Unadjusted effects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gridSpan w:val="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Covariate-adjusted effects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Moderator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Studes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Effects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Est [95% CI]&lt;br&gt;F stats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Sig.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Satt. df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SD total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Est [95% CI]&lt;br&gt;F stats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Sig.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Satt. df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SD total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Outcome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Anxiety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0.4 [-0.07, 0.86]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0.21 [-0.12, 0.54]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Depression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0.34 [0.09, 0.59]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0.27 [0.05, 0.49]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General mental health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0.13 [-0.01, 0.28]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0.074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25.4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0.25 [0.11, 0.38]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17.5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Symptoms of psychosis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0.16 [-0.01, 0.33]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0.21 [0.03, 0.38]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Wald test (CWB)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Schizophrenia in sample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0.1 [0.04, 0.16]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0.22 [0, 0.43]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0.23 [0.09, 0.38]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31.6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0.19 [0.03, 0.36]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Wald test (CWB)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Cbt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CBT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0.36 [-0.01, 0.72]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0.27 [-0.09, 0.63]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0.15 [0.04, 0.26]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23.3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0.16 [0.03, 0.29]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Wald test (CWB)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2025-11-11T19:59:17Z</dcterms:created>
  <dcterms:modified xsi:type="dcterms:W3CDTF">2025-11-11T19:59:17Z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