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Subgroup analyses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Unadjusted effects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Covariate-adjusted effects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Moderator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Studes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Effects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 [95% CI]&lt;br&gt;F stats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Sig.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Satt. df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 total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 [95% CI]&lt;br&gt;F stats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Sig.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Satt. df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 total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Prereg chr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preregistered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0.31 [0.21, 0.42]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0.42 [0.18, 0.65]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Preregistered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0.13 [0.03, 0.22]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 [-0.02, 0.42]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Wald test (HTZ)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F(1, 29.58) = 7.68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F(1, 16.71) = 6.47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Test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Clinician-rated measure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0.13 [-0.08, 0.35]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0.25 [0.01, 0.5]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Self reported/raw events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0.21 [0.13, 0.29]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0.31 [0.1, 0.52]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Wald test (HTZ)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F(1, 7.03) = 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F(1, 9.76) = 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Analysis strategy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 [0.04, 0.21]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0.28 [0.08, 0.48]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0.27 [0.16, 0.38]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0.34 [0.11, 0.58]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Wald test (HTZ)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F(1, 22.74) = 5.26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F(1, 16.5) =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Qes design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0.28 [0.01, 0.56]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0.29 [-0.03, 0.61]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 [0.11, 0.26]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0.31 [0.1, 0.52]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Wald test (HTZ)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F(1, 7.12) = 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F(1, 10.89) = 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Control modified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Individual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-0.06 [-0.82, 0.7]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-0.05 [-0.88, 0.78]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TAU with/without Waitlist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 [0.12, 0.27]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0.33 [0.13, 0.53]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Waiting-list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0.42 [0.12, 0.72]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0.34 [-0.41, 1.09]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Wald test (HTZ)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F(2, 2.46) = 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F(2, 3.71) = 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Risk of bias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Low/Some concerns/Moderate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 [0.11, 0.29]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0.32 [0.12, 0.52]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Serious/High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 [0.02, 0.38]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0.25 [0.07, 0.43]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Wald test (HTZ)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F(1, 17.97) = 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F(1, 7.95) =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2025-09-29T10:31:05Z</dcterms:created>
  <dcterms:modified xsi:type="dcterms:W3CDTF">2025-09-29T10:31:05Z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