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Subgroup analyses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Unadjusted effects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Covariate-adjusted effects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Moderator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Studes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Effects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 [95% CI]&lt;br&gt;F stats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Sig.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Satt. 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 total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 [95% CI]&lt;br&gt;F stats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Sig.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Satt. df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 total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Prereg chr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preregistered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 [0.03, 0.48]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0.32 [0.12, 0.51]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Preregistered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 [0.06, 0.35]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 [0.01, 0.33]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(HTZ)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32.94) = 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14.79) = 1.88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Test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Clinician-rated measure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0.46 [0.16, 0.76]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0.29 [0.07, 0.52]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Self reported/raw events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 [0.03, 0.3]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 [-0.03, 0.35]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(HTZ)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17.02) = 4.12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13.85) = 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Analysis strategy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 [-0.08, 0.18]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0.13 [-0.05, 0.32]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0.35 [0.15, 0.56]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0.32 [0.1, 0.54]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(HTZ)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32.38) = 7.08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16.9) = 3.03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Qes design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 [-0.35, 0.58]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 [-0.38, 0.76]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 [0.11, 0.35]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0.22 [0.08, 0.36]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(HTZ)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7.84) = 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7.87) = 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Control modified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Individual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-0.22 [-4.12, 3.67]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-0.16 [-9.07, 8.74]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TAU with/without Waitlist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 [0.1, 0.32]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0.28 [0.13, 0.43]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Waiting-list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0.68 [-1.84, 3.2]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0.29 [-0.45, 1.02]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(HTZ)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F(2, 1.09) = 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F(2, 1.44) = 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Risk of bias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Low/Some concerns/Moderate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 [0.1, 0.38]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 [0.09, 0.38]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Serious/High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 [-0.12, 0.46]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 [0.03, 0.43]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(HTZ)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17.09) = 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F(1, 5.79) = 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2025-09-29T19:22:24Z</dcterms:created>
  <dcterms:modified xsi:type="dcterms:W3CDTF">2025-09-29T19:22:24Z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