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2F19F33C"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reviewers can</w:t>
      </w:r>
      <w:r w:rsidR="00800A19">
        <w:t xml:space="preserve"> or cannot</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w:t>
      </w:r>
      <w:bookmarkStart w:id="0" w:name="_GoBack"/>
      <w:bookmarkEnd w:id="0"/>
      <w:r w:rsidR="00800A19">
        <w:t>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 xml:space="preserve">and scale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4B2B88FD"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41C2044B"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r w:rsidR="006D3817">
        <w:rPr>
          <w:rFonts w:cs="Times New Roman"/>
          <w:szCs w:val="24"/>
          <w:lang w:val="en-US"/>
        </w:rPr>
        <w:t>.</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6E2BF364"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lastRenderedPageBreak/>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4E9AFDAA"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709EAC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2C9D24FA" w14:textId="094A0FC5" w:rsidR="00074BF1"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2B01"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2B01"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2B01"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412FC22" w14:textId="1D7A5924" w:rsidR="0054144B"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7FF88D3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on 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255288A3"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lastRenderedPageBreak/>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464626">
        <w:rPr>
          <w:lang w:val="en-US"/>
        </w:rPr>
        <w:t xml:space="preserve">, </w:t>
      </w:r>
      <w:r w:rsidR="00467E10">
        <w:rPr>
          <w:lang w:val="en-US"/>
        </w:rPr>
        <w:t xml:space="preserve">EPPI-reviewer,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3B7A1765"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DE061E">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E061E" w:rsidRPr="00DE061E">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6A509833"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xml:space="preserve">. </w:t>
      </w:r>
      <w:r>
        <w:rPr>
          <w:lang w:val="en-US"/>
        </w:rPr>
        <w:lastRenderedPageBreak/>
        <w:t>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for many years. </w:t>
      </w:r>
    </w:p>
    <w:p w14:paraId="2779F53E" w14:textId="4A41CCF5"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DE061E" w:rsidRPr="00DE061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w:t>
      </w:r>
      <w:r w:rsidRPr="00464626">
        <w:rPr>
          <w:i/>
          <w:lang w:val="en-US"/>
        </w:rPr>
        <w:t>can</w:t>
      </w:r>
      <w:r>
        <w:rPr>
          <w:lang w:val="en-US"/>
        </w:rPr>
        <w:t xml:space="preserve"> conduct TAB screening with </w:t>
      </w:r>
      <w:r w:rsidR="00464626">
        <w:rPr>
          <w:lang w:val="en-US"/>
        </w:rPr>
        <w:t xml:space="preserve">a </w:t>
      </w:r>
      <w:r>
        <w:rPr>
          <w:lang w:val="en-US"/>
        </w:rPr>
        <w:t xml:space="preserve">performance </w:t>
      </w:r>
      <w:r w:rsidRPr="00464626">
        <w:rPr>
          <w:lang w:val="en-US"/>
        </w:rPr>
        <w:t>at least</w:t>
      </w:r>
      <w:r>
        <w:rPr>
          <w:lang w:val="en-US"/>
        </w:rPr>
        <w:t xml:space="preserve"> on par with human performance</w:t>
      </w:r>
      <w:r w:rsidR="00DE7226">
        <w:rPr>
          <w:lang w:val="en-US"/>
        </w:rPr>
        <w:t xml:space="preserve"> relative to our developed benchmarks</w:t>
      </w:r>
      <w:r w:rsidR="000B4CB0">
        <w:rPr>
          <w:lang w:val="en-US"/>
        </w:rPr>
        <w:t xml:space="preserve">, even when applied in a </w:t>
      </w:r>
      <w:r w:rsidR="00464626">
        <w:rPr>
          <w:lang w:val="en-US"/>
        </w:rPr>
        <w:t>highly</w:t>
      </w:r>
      <w:r w:rsidR="000B4CB0">
        <w:rPr>
          <w:lang w:val="en-US"/>
        </w:rPr>
        <w:t xml:space="preserve">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DE061E" w:rsidRPr="00DE061E">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64FDA334" w14:textId="5960B948" w:rsidR="00812924" w:rsidRDefault="005D0384" w:rsidP="005F5FAC">
      <w:pPr>
        <w:autoSpaceDE w:val="0"/>
        <w:autoSpaceDN w:val="0"/>
        <w:adjustRightInd w:val="0"/>
        <w:spacing w:after="0" w:line="360" w:lineRule="auto"/>
        <w:ind w:firstLine="1304"/>
        <w:jc w:val="both"/>
        <w:rPr>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w:t>
      </w:r>
      <w:r>
        <w:rPr>
          <w:lang w:val="en-US"/>
        </w:rPr>
        <w:lastRenderedPageBreak/>
        <w:t xml:space="preserve">screening can be initiated. </w:t>
      </w:r>
      <w:r w:rsidR="00467E10">
        <w:rPr>
          <w:lang w:val="en-US"/>
        </w:rPr>
        <w:t>We return to this point</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as an open-source software so that others in the review community</w:t>
      </w:r>
      <w:r w:rsidR="00812924">
        <w:rPr>
          <w:lang w:val="en-US"/>
        </w:rPr>
        <w:t xml:space="preserve"> (e.g., the Evidence Synthesis Hackathon)</w:t>
      </w:r>
      <w:r w:rsidR="00467E10">
        <w:rPr>
          <w:lang w:val="en-US"/>
        </w:rPr>
        <w:t xml:space="preserve"> can </w:t>
      </w:r>
      <w:r w:rsidR="005F5FAC">
        <w:rPr>
          <w:lang w:val="en-US"/>
        </w:rPr>
        <w:t>readily</w:t>
      </w:r>
      <w:r w:rsidR="00467E10">
        <w:rPr>
          <w:lang w:val="en-US"/>
        </w:rPr>
        <w:t xml:space="preserve"> contribute to the development and ongoing support of the software.</w:t>
      </w:r>
      <w:r w:rsidR="008B5C84">
        <w:rPr>
          <w:lang w:val="en-US"/>
        </w:rPr>
        <w:t xml:space="preserve"> </w:t>
      </w:r>
    </w:p>
    <w:p w14:paraId="5724E377" w14:textId="5EE9937E" w:rsidR="0054144B" w:rsidRPr="00812924" w:rsidRDefault="00467E10" w:rsidP="00812924">
      <w:pPr>
        <w:autoSpaceDE w:val="0"/>
        <w:autoSpaceDN w:val="0"/>
        <w:adjustRightInd w:val="0"/>
        <w:spacing w:after="0" w:line="360" w:lineRule="auto"/>
        <w:ind w:firstLine="1304"/>
        <w:jc w:val="both"/>
        <w:rPr>
          <w:lang w:val="en-US"/>
        </w:rPr>
      </w:pPr>
      <w:r>
        <w:rPr>
          <w:lang w:val="en-US"/>
        </w:rPr>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future applications of TAB 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OpenAI’s</w:t>
      </w:r>
      <w:r w:rsidR="00C57118">
        <w:rPr>
          <w:lang w:val="en-US"/>
        </w:rPr>
        <w:t xml:space="preserve"> LLM</w:t>
      </w:r>
      <w:r w:rsidR="00213868">
        <w:rPr>
          <w:lang w:val="en-US"/>
        </w:rPr>
        <w:t>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D9BC26F"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6C826804"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DE061E">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8CB11A6" w:rsidR="006433DF" w:rsidRDefault="006433DF" w:rsidP="00DE7226">
      <w:pPr>
        <w:spacing w:after="0" w:line="360" w:lineRule="auto"/>
        <w:ind w:firstLine="1304"/>
        <w:jc w:val="both"/>
        <w:rPr>
          <w:lang w:val="en-US"/>
        </w:rPr>
      </w:pPr>
      <w:r w:rsidRPr="00BD4892">
        <w:t xml:space="preserve">Gargari et al. </w:t>
      </w:r>
      <w:r>
        <w:rPr>
          <w:lang w:val="en-US"/>
        </w:rPr>
        <w:fldChar w:fldCharType="begin" w:fldLock="1"/>
      </w:r>
      <w:r w:rsidR="00DE061E">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DE061E">
        <w:rPr>
          <w:noProof/>
        </w:rPr>
        <w:t>(2024)</w:t>
      </w:r>
      <w:r>
        <w:rPr>
          <w:lang w:val="en-US"/>
        </w:rPr>
        <w:fldChar w:fldCharType="end"/>
      </w:r>
      <w:r w:rsidRPr="00BD4892">
        <w:t xml:space="preserve"> </w:t>
      </w:r>
      <w:r w:rsidR="00DC3EC6" w:rsidRPr="00BD4892">
        <w:t xml:space="preserve">applied the </w:t>
      </w:r>
      <w:r w:rsidR="0007719B" w:rsidRPr="00BD4892">
        <w:t>gpt</w:t>
      </w:r>
      <w:r w:rsidR="00DC3EC6" w:rsidRPr="00BD4892">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3482D7B5" w14:textId="0957FF80" w:rsidR="006C1FAB" w:rsidRPr="0011702D" w:rsidRDefault="006C1FAB" w:rsidP="00497B8E">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00DE061E" w:rsidRPr="00DE061E">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00DE061E" w:rsidRPr="00DE061E">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00DE061E" w:rsidRPr="00DE061E">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w:t>
      </w:r>
      <w:r w:rsidR="00464626">
        <w:rPr>
          <w:rStyle w:val="comma-separator"/>
          <w:color w:val="000000" w:themeColor="text1"/>
          <w:lang w:val="en-US"/>
        </w:rPr>
        <w:t>the</w:t>
      </w:r>
      <w:r w:rsidRPr="007340E8">
        <w:rPr>
          <w:rStyle w:val="comma-separator"/>
          <w:color w:val="000000" w:themeColor="text1"/>
          <w:lang w:val="en-US"/>
        </w:rPr>
        <w:t xml:space="preserve"> results obtained from the API models </w:t>
      </w:r>
      <w:r w:rsidR="00464626">
        <w:rPr>
          <w:rStyle w:val="comma-separator"/>
          <w:color w:val="000000" w:themeColor="text1"/>
          <w:lang w:val="en-US"/>
        </w:rPr>
        <w:t xml:space="preserve">on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E061E" w:rsidRPr="00DE061E">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E061E" w:rsidRPr="00DE061E">
        <w:rPr>
          <w:noProof/>
        </w:rPr>
        <w:t>(2024)</w:t>
      </w:r>
      <w:r w:rsidR="00D02FC4">
        <w:rPr>
          <w:lang w:val="en-US"/>
        </w:rPr>
        <w:fldChar w:fldCharType="end"/>
      </w:r>
      <w:r w:rsidR="00D02FC4">
        <w:rPr>
          <w:lang w:val="en-US"/>
        </w:rPr>
        <w:t xml:space="preserve"> used</w:t>
      </w:r>
      <w:r w:rsidR="006433DF">
        <w:rPr>
          <w:lang w:val="en-US"/>
        </w:rPr>
        <w:t xml:space="preserve"> during </w:t>
      </w:r>
      <w:r w:rsidR="006433DF">
        <w:rPr>
          <w:lang w:val="en-US"/>
        </w:rPr>
        <w:lastRenderedPageBreak/>
        <w:t>their investigations</w:t>
      </w:r>
      <w:r w:rsidR="00DC3EC6">
        <w:rPr>
          <w:lang w:val="en-US"/>
        </w:rPr>
        <w:t xml:space="preserve">, whereas Gargari et al. </w:t>
      </w:r>
      <w:r w:rsidR="00DC3EC6">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552190A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DE061E" w:rsidRPr="00DE061E">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 xml:space="preserve">Compared with traditional machine learning algorithms, we will also show that the GPT-4 has the ability </w:t>
      </w:r>
      <w:r w:rsidR="00E11D90">
        <w:rPr>
          <w:lang w:val="en-US"/>
        </w:rPr>
        <w:t xml:space="preserve">in some cases </w:t>
      </w:r>
      <w:r w:rsidR="00A44FFC">
        <w:rPr>
          <w:lang w:val="en-US"/>
        </w:rPr>
        <w:t>to find almost all relevant studies.</w:t>
      </w:r>
      <w:r w:rsidR="00542711">
        <w:rPr>
          <w:lang w:val="en-US"/>
        </w:rPr>
        <w:t xml:space="preserve"> </w:t>
      </w:r>
    </w:p>
    <w:p w14:paraId="2249C348" w14:textId="7C7C17C4" w:rsidR="00542711" w:rsidRDefault="00DA5E2D" w:rsidP="00B23B21">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464626">
        <w:rPr>
          <w:lang w:val="en-US"/>
        </w:rPr>
        <w:t xml:space="preserve">ing </w:t>
      </w:r>
      <w:r w:rsidR="0039413B">
        <w:rPr>
          <w:lang w:val="en-US"/>
        </w:rPr>
        <w:t>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We consider the simple function call to be the main work</w:t>
      </w:r>
      <w:r w:rsidR="00464626">
        <w:rPr>
          <w:lang w:val="en-US"/>
        </w:rPr>
        <w:t xml:space="preserve"> engine.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70D6E5D3"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w:t>
      </w:r>
      <w:r>
        <w:rPr>
          <w:lang w:val="en-US"/>
        </w:rPr>
        <w:lastRenderedPageBreak/>
        <w:t xml:space="preserve">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via the conduct of t</w:t>
      </w:r>
      <w:r w:rsidR="00615D6B">
        <w:rPr>
          <w:lang w:val="en-US"/>
        </w:rPr>
        <w:t>hree</w:t>
      </w:r>
      <w:r>
        <w:rPr>
          <w:lang w:val="en-US"/>
        </w:rPr>
        <w:t xml:space="preserve">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to conduct the same request (i.e., asking the </w:t>
      </w:r>
      <w:r w:rsidR="00DA5E2D">
        <w:rPr>
          <w:lang w:val="en-US"/>
        </w:rPr>
        <w:t xml:space="preserve">exact </w:t>
      </w:r>
      <w:r w:rsidR="00802447">
        <w:rPr>
          <w:lang w:val="en-US"/>
        </w:rPr>
        <w:t xml:space="preserve">same question) multiple times to avoid random noise in the model response (especially when using </w:t>
      </w:r>
      <w:r w:rsidR="00615D6B">
        <w:rPr>
          <w:lang w:val="en-US"/>
        </w:rPr>
        <w:t>GPT</w:t>
      </w:r>
      <w:r w:rsidR="00802447">
        <w:rPr>
          <w:lang w:val="en-US"/>
        </w:rPr>
        <w: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w:t>
      </w:r>
      <w:r w:rsidR="00A455C9">
        <w:rPr>
          <w:lang w:val="en-US"/>
        </w:rPr>
        <w:t xml:space="preserve"> specific</w:t>
      </w:r>
      <w:r w:rsidR="00C36576">
        <w:rPr>
          <w:lang w:val="en-US"/>
        </w:rPr>
        <w:t xml:space="preserve"> inclusion threshold can 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4E5E9F8D"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w:t>
      </w:r>
      <w:r w:rsidR="00A455C9">
        <w:rPr>
          <w:lang w:val="en-US"/>
        </w:rPr>
        <w:t xml:space="preserve"> (and not)</w:t>
      </w:r>
      <w:r>
        <w:rPr>
          <w:lang w:val="en-US"/>
        </w:rPr>
        <w:t xml:space="preserve">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he contribution of this paper is</w:t>
      </w:r>
      <w:r w:rsidR="002F020E">
        <w:rPr>
          <w:lang w:val="en-US"/>
        </w:rPr>
        <w:t>,</w:t>
      </w:r>
      <w:r w:rsidR="00CE7E7D">
        <w:rPr>
          <w:lang w:val="en-US"/>
        </w:rPr>
        <w:t xml:space="preserve"> therefore</w:t>
      </w:r>
      <w:r w:rsidR="002F020E">
        <w:rPr>
          <w:lang w:val="en-US"/>
        </w:rPr>
        <w:t>,</w:t>
      </w:r>
      <w:r w:rsidR="00CE7E7D">
        <w:rPr>
          <w:lang w:val="en-US"/>
        </w:rPr>
        <w:t xml:space="preserve"> </w:t>
      </w:r>
      <w:r w:rsidR="00A455C9">
        <w:rPr>
          <w:lang w:val="en-US"/>
        </w:rPr>
        <w:t xml:space="preserve">also </w:t>
      </w:r>
      <w:r w:rsidR="00CE7E7D">
        <w:rPr>
          <w:lang w:val="en-US"/>
        </w:rPr>
        <w:t xml:space="preserve">to put forward a tentative benchmark scheme </w:t>
      </w:r>
      <w:r w:rsidR="002F020E">
        <w:rPr>
          <w:lang w:val="en-US"/>
        </w:rPr>
        <w:t>on which screening performances in high-quality reviews can be assessed</w:t>
      </w:r>
      <w:r w:rsidR="00CE7E7D">
        <w:rPr>
          <w:lang w:val="en-US"/>
        </w:rPr>
        <w:t xml:space="preserve">. </w:t>
      </w:r>
      <w:r>
        <w:rPr>
          <w:lang w:val="en-US"/>
        </w:rPr>
        <w:t xml:space="preserve"> </w:t>
      </w:r>
    </w:p>
    <w:p w14:paraId="0015B9A2" w14:textId="79118F34"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DE061E">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00DE061E" w:rsidRPr="00DE061E">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 </w:t>
      </w:r>
      <w:r w:rsidR="006D57CE">
        <w:rPr>
          <w:lang w:val="en-US"/>
        </w:rPr>
        <w:t xml:space="preserve">we suggest </w:t>
      </w:r>
      <w:r>
        <w:rPr>
          <w:lang w:val="en-US"/>
        </w:rPr>
        <w:t xml:space="preserve">making one concise prompt per inclusion (and/or exclusion) criterion. </w:t>
      </w:r>
      <w:r w:rsidR="00312F00">
        <w:rPr>
          <w:lang w:val="en-US"/>
        </w:rPr>
        <w:t>S</w:t>
      </w:r>
      <w:r>
        <w:rPr>
          <w:lang w:val="en-US"/>
        </w:rPr>
        <w:t>tud</w:t>
      </w:r>
      <w:r w:rsidR="00312F00">
        <w:rPr>
          <w:lang w:val="en-US"/>
        </w:rPr>
        <w:t>y eligibility can</w:t>
      </w:r>
      <w:r>
        <w:rPr>
          <w:lang w:val="en-US"/>
        </w:rPr>
        <w:t xml:space="preserve"> </w:t>
      </w:r>
      <w:r w:rsidR="002F020E">
        <w:rPr>
          <w:lang w:val="en-US"/>
        </w:rPr>
        <w:t>then</w:t>
      </w:r>
      <w:r>
        <w:rPr>
          <w:lang w:val="en-US"/>
        </w:rPr>
        <w:t xml:space="preserve"> </w:t>
      </w:r>
      <w:r w:rsidR="00312F00">
        <w:rPr>
          <w:lang w:val="en-US"/>
        </w:rPr>
        <w:t>be decided</w:t>
      </w:r>
      <w:r>
        <w:rPr>
          <w:lang w:val="en-US"/>
        </w:rPr>
        <w:t xml:space="preserve"> </w:t>
      </w:r>
      <w:r w:rsidR="002F020E">
        <w:rPr>
          <w:lang w:val="en-US"/>
        </w:rPr>
        <w:t xml:space="preserve">based on whether </w:t>
      </w:r>
      <w:r w:rsidR="004202F4">
        <w:rPr>
          <w:lang w:val="en-US"/>
        </w:rPr>
        <w:t xml:space="preserve">a study record </w:t>
      </w:r>
      <w:r w:rsidR="002F020E">
        <w:rPr>
          <w:lang w:val="en-US"/>
        </w:rPr>
        <w:t>was</w:t>
      </w:r>
      <w:r w:rsidR="004202F4">
        <w:rPr>
          <w:lang w:val="en-US"/>
        </w:rPr>
        <w:t xml:space="preserve">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5056910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2B01"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166FA8B7"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BD4892"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3B0B627C"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597597">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4A66D319"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w:t>
      </w:r>
      <w:r w:rsidR="00EE7F05">
        <w:rPr>
          <w:rFonts w:eastAsiaTheme="minorEastAsia"/>
          <w:lang w:val="en-US"/>
        </w:rPr>
        <w:lastRenderedPageBreak/>
        <w:t>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his goes without saying low specificity rates</w:t>
      </w:r>
      <w:r w:rsidR="00F967D3">
        <w:rPr>
          <w:rFonts w:eastAsiaTheme="minorEastAsia"/>
          <w:lang w:val="en-US"/>
        </w:rPr>
        <w:t xml:space="preserve"> should be accepted per se</w:t>
      </w:r>
      <w:r>
        <w:rPr>
          <w:rFonts w:eastAsiaTheme="minorEastAsia"/>
          <w:lang w:val="en-US"/>
        </w:rPr>
        <w:t xml:space="preserve">. We will come back to that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719E6B14"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AB4B3D0"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4CE836CF"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597597">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1"/>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1"/>
      <w:r w:rsidR="0007719B">
        <w:rPr>
          <w:rStyle w:val="CommentReference"/>
        </w:rPr>
        <w:commentReference w:id="1"/>
      </w:r>
    </w:p>
    <w:p w14:paraId="1FDBE377" w14:textId="5300CE11"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have ignored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lastRenderedPageBreak/>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be likely 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16B6A29C" w:rsidR="00901901"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 xml:space="preserve">When analyzing all of the above-presented data, we removed all training data to avoid </w:t>
      </w:r>
      <w:r w:rsidR="00ED63F5">
        <w:rPr>
          <w:lang w:val="en-US"/>
        </w:rPr>
        <w:lastRenderedPageBreak/>
        <w:t>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CD0841"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5B0FFAF" w14:textId="77777777" w:rsidTr="007F4727">
        <w:tc>
          <w:tcPr>
            <w:tcW w:w="1916" w:type="dxa"/>
            <w:tcBorders>
              <w:top w:val="nil"/>
              <w:left w:val="nil"/>
              <w:bottom w:val="nil"/>
              <w:right w:val="nil"/>
            </w:tcBorders>
          </w:tcPr>
          <w:p w14:paraId="1EB677C2" w14:textId="72679CF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4C80ADC8" w:rsidR="00D04E6F" w:rsidRPr="0040019C" w:rsidRDefault="00D04E6F" w:rsidP="006F63D8">
            <w:pPr>
              <w:ind w:left="164"/>
              <w:rPr>
                <w:rFonts w:cs="Times New Roman"/>
                <w:sz w:val="22"/>
                <w:lang w:val="en-US"/>
              </w:rPr>
            </w:pPr>
            <w:r w:rsidRPr="00BD4892">
              <w:rPr>
                <w:rFonts w:cs="Times New Roman"/>
                <w:sz w:val="22"/>
                <w:lang w:val="en-US"/>
              </w:rPr>
              <w:t xml:space="preserve">Dalgaard, Bondebjerg, Viinholt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CD0841"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lastRenderedPageBreak/>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6CFAC08"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w:t>
      </w:r>
      <w:r>
        <w:rPr>
          <w:rFonts w:eastAsiaTheme="minorEastAsia"/>
          <w:i/>
          <w:lang w:val="en-US"/>
        </w:rPr>
        <w:lastRenderedPageBreak/>
        <w:t xml:space="preserve">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2CCF559E"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w:t>
      </w:r>
      <w:r>
        <w:rPr>
          <w:lang w:val="en-US"/>
        </w:rPr>
        <w:lastRenderedPageBreak/>
        <w:t xml:space="preserve">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xml:space="preserve">] for the assistant and author screeners, respectively. These averages were found to be statistically different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340CD07C"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C3763F">
        <w:rPr>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260480D7"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we would not necessarily interpret a recall rate of 0.76 to be so low that it excludes the GPT models to function as an independent second screener. Also,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093366C7"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D62B01"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2B01"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377D8E5B" w14:textId="7789079F"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 since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5.2.</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2E230EFA"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3A791574"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78DBF1AB"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7051A9">
        <w:rPr>
          <w:rFonts w:cs="Times New Roman"/>
          <w:lang w:val="en-US"/>
        </w:rPr>
        <w:t xml:space="preserve">very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AE2F6" w:rsidR="00AE3D2A" w:rsidRPr="00BD4892" w:rsidRDefault="00967FBA" w:rsidP="00497B8E">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61DFC458"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8946F2A" w:rsidR="00311FE2" w:rsidRPr="00497B8E" w:rsidRDefault="002D0DAF" w:rsidP="00497B8E">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4211E06D" w14:textId="4AE5B5B4" w:rsidR="00575122"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02A1B5E8" w:rsidR="004C4B30" w:rsidRPr="00497B8E"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w:t>
      </w:r>
      <w:r w:rsidR="005A5FC4">
        <w:rPr>
          <w:rFonts w:eastAsiaTheme="minorEastAsia"/>
          <w:lang w:val="en-US"/>
        </w:rPr>
        <w:lastRenderedPageBreak/>
        <w:t xml:space="preserve">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49C2841B"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61216535" w:rsidR="0060422B" w:rsidRPr="00A449F4"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t>
      </w:r>
      <w:r w:rsidR="00726CD7">
        <w:rPr>
          <w:rFonts w:cs="Times New Roman"/>
          <w:szCs w:val="24"/>
          <w:lang w:val="en-US"/>
        </w:rPr>
        <w:lastRenderedPageBreak/>
        <w:t xml:space="preserve">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they have not been pre-trained.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2" w:name="_Hlk169692566"/>
            <w:r>
              <w:rPr>
                <w:rFonts w:cs="Times New Roman"/>
                <w:sz w:val="20"/>
                <w:szCs w:val="20"/>
              </w:rPr>
              <w:t>1340</w:t>
            </w:r>
            <w:bookmarkEnd w:id="2"/>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259A2A31" w14:textId="77777777" w:rsidR="00497B8E" w:rsidRDefault="00497B8E" w:rsidP="006F63D8">
      <w:pPr>
        <w:spacing w:after="0" w:line="360" w:lineRule="auto"/>
        <w:rPr>
          <w:rFonts w:cs="Times New Roman"/>
          <w:szCs w:val="20"/>
          <w:lang w:val="en-US"/>
        </w:rPr>
      </w:pPr>
    </w:p>
    <w:p w14:paraId="1C52BD53" w14:textId="77777777" w:rsidR="00497B8E" w:rsidRDefault="00497B8E" w:rsidP="006F63D8">
      <w:pPr>
        <w:spacing w:after="0" w:line="360" w:lineRule="auto"/>
        <w:rPr>
          <w:rFonts w:cs="Times New Roman"/>
          <w:szCs w:val="20"/>
          <w:lang w:val="en-US"/>
        </w:rPr>
      </w:pPr>
    </w:p>
    <w:p w14:paraId="04EF430B" w14:textId="77777777" w:rsidR="00497B8E" w:rsidRDefault="00497B8E" w:rsidP="006F63D8">
      <w:pPr>
        <w:spacing w:after="0" w:line="360" w:lineRule="auto"/>
        <w:rPr>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4C0B65C0" w:rsidR="003C5EE5" w:rsidRPr="00A23086"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5B5A349F" w14:textId="2D5A9E5A"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 xml:space="preserve">GPT API models can work as highly reliable and independent second screeners </w:t>
      </w:r>
      <w:r>
        <w:rPr>
          <w:lang w:val="en-US"/>
        </w:rPr>
        <w:lastRenderedPageBreak/>
        <w:t>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49F25BC" w14:textId="653D7EDF" w:rsidR="0053327B" w:rsidRPr="00497B8E" w:rsidRDefault="00FE5D2F" w:rsidP="00497B8E">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D62B01"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D62B01"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D62B01"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D62B01"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D62B01"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D62B01"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77777777"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reviewers/screeeners.  </w:t>
            </w:r>
          </w:p>
        </w:tc>
      </w:tr>
      <w:tr w:rsidR="00D5471A" w:rsidRPr="00D62B01"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D62B01"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D62B01"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60C92C15" w14:textId="0D533FD4" w:rsidR="005559D9" w:rsidRDefault="00D242D4" w:rsidP="00497B8E">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4DC459FE" w:rsidR="00F67237" w:rsidRPr="00497B8E" w:rsidRDefault="005657C1" w:rsidP="00497B8E">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2FC12773"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 for example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2B01"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2B01"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560EFE3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properly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67D0EA26"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w:t>
      </w:r>
      <w:r w:rsidR="008B6AF6">
        <w:rPr>
          <w:lang w:val="en-US"/>
        </w:rPr>
        <w:lastRenderedPageBreak/>
        <w:t xml:space="preserve">do not know how they are trained </w:t>
      </w:r>
      <w:r w:rsidR="008D3079">
        <w:rPr>
          <w:lang w:val="en-US"/>
        </w:rPr>
        <w:t xml:space="preserve">and </w:t>
      </w:r>
      <w:r w:rsidR="008B6AF6">
        <w:rPr>
          <w:lang w:val="en-US"/>
        </w:rPr>
        <w:t xml:space="preserve">will develop. This also means 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7A44F71A"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 xml:space="preserve">size </w:t>
      </w:r>
      <w:r w:rsidR="00FF16CF">
        <w:rPr>
          <w:lang w:val="en-US"/>
        </w:rPr>
        <w:lastRenderedPageBreak/>
        <w:t>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70EBCC2F"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leverage of the GPT API screening and make it time-consuming to build well-performing prompts. Reviewers must, therefore, always make </w:t>
      </w:r>
      <w:r>
        <w:rPr>
          <w:rStyle w:val="translation"/>
        </w:rPr>
        <w:t xml:space="preserve">thorough consideration of whether the use of GPT API screening is resource-efficient in the given review case. </w:t>
      </w:r>
      <w:r w:rsidR="00497AD0">
        <w:rPr>
          <w:rStyle w:val="translation"/>
        </w:rPr>
        <w:t>On the same line, a</w:t>
      </w:r>
      <w:r>
        <w:rPr>
          <w:rStyle w:val="translation"/>
        </w:rPr>
        <w:t xml:space="preserve"> key reason for us to develop the screening benchmark scheme is also that it guides reviewers on when GPT API screening might not be appropriate. Most importantly that is when prompt performances are not on par with human screening. This aims to hinder reviewers from using bad/sensitive prompts and thus avoid inducing a recall bias in systematic reviews. </w:t>
      </w:r>
    </w:p>
    <w:p w14:paraId="41CBC6BC" w14:textId="67C00A4F" w:rsidR="00735DD3" w:rsidRPr="00032EE0" w:rsidRDefault="00735DD3" w:rsidP="00735DD3">
      <w:pPr>
        <w:spacing w:after="0" w:line="360" w:lineRule="auto"/>
        <w:jc w:val="both"/>
      </w:pPr>
      <w:r>
        <w:rPr>
          <w:lang w:val="en-US"/>
        </w:rPr>
        <w:tab/>
        <w:t xml:space="preserve">Although we have strived to make a user-friendly setup for GPT API screening, a prominent limitation is that our screening approach is function-based, meaning that reviewers need to require minor R coding skills. Thus, a more generic solution might be </w:t>
      </w:r>
      <w:r>
        <w:rPr>
          <w:rStyle w:val="translation"/>
        </w:rPr>
        <w:t>favorable</w:t>
      </w:r>
      <w:r>
        <w:rPr>
          <w:lang w:val="en-US"/>
        </w:rPr>
        <w:t xml:space="preserve">. For example, embedded in a shiny app or by incorporating this approach directly in screening tools similar to what has been done with the data extraction GPT API tool in the EPPI-reviewer </w:t>
      </w:r>
      <w:r>
        <w:fldChar w:fldCharType="begin" w:fldLock="1"/>
      </w:r>
      <w:r w:rsidR="00DE061E">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DE061E">
        <w:rPr>
          <w:noProof/>
        </w:rPr>
        <w:t>(EPPI-Centre, 2024)</w:t>
      </w:r>
      <w:r>
        <w:fldChar w:fldCharType="end"/>
      </w:r>
      <w:r>
        <w:t>. A tempting solution to accommodate user-friendliness is to copy our approach to the ChatGPT interface. However, it is pivotal to stress that we have not been able to replicate any of the screening results we obtained from the GPT API models. Consequently, we recommend reviewers not use the ChatGPT for title and abstract screening before more 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064713E9" w14:textId="6B6C9677" w:rsidR="00C03E98" w:rsidRDefault="00311FE2" w:rsidP="00515E21">
      <w:pPr>
        <w:spacing w:after="0" w:line="360" w:lineRule="auto"/>
        <w:jc w:val="both"/>
        <w:rPr>
          <w:b/>
        </w:rPr>
      </w:pPr>
      <w:r>
        <w:rPr>
          <w:b/>
        </w:rPr>
        <w:t>8</w:t>
      </w:r>
      <w:r w:rsidR="00296111" w:rsidRPr="00296111">
        <w:rPr>
          <w:b/>
        </w:rPr>
        <w:t xml:space="preserve"> DISCU</w:t>
      </w:r>
      <w:r w:rsidR="00296111">
        <w:rPr>
          <w:b/>
        </w:rPr>
        <w:t>S</w:t>
      </w:r>
      <w:r w:rsidR="00296111" w:rsidRPr="00296111">
        <w:rPr>
          <w:b/>
        </w:rPr>
        <w:t>SION</w:t>
      </w:r>
    </w:p>
    <w:p w14:paraId="42381D5F" w14:textId="1231A37A" w:rsidR="0079414D" w:rsidRPr="006D3817" w:rsidRDefault="00DE061E" w:rsidP="00422433">
      <w:pPr>
        <w:spacing w:after="0" w:line="360" w:lineRule="auto"/>
        <w:jc w:val="both"/>
        <w:rPr>
          <w:lang w:val="en-US"/>
        </w:rPr>
      </w:pPr>
      <w:r>
        <w:t>Human d</w:t>
      </w:r>
      <w:r w:rsidR="00DD0E3D">
        <w:t xml:space="preserve">uplicate title and abstract </w:t>
      </w:r>
      <w:r>
        <w:t xml:space="preserve">(TAB) </w:t>
      </w:r>
      <w:r w:rsidR="00DD0E3D">
        <w:t xml:space="preserve">screening </w:t>
      </w:r>
      <w:r w:rsidR="00897CA2">
        <w:t>in</w:t>
      </w:r>
      <w:r w:rsidR="00DD0E3D">
        <w:t xml:space="preserve"> systematic reviews is time-consuming, requiring a substantial amount of human labor</w:t>
      </w:r>
      <w:r w:rsidR="00897CA2">
        <w:t xml:space="preserve"> which decelerates the review process</w:t>
      </w:r>
      <w:r w:rsidR="002C4354">
        <w:t xml:space="preserve"> and the </w:t>
      </w:r>
      <w:r w:rsidR="007F2B4C">
        <w:t>dissemination of important knowledge</w:t>
      </w:r>
      <w:r w:rsidR="002C4354">
        <w:t xml:space="preserve"> for practice, research, and policy</w:t>
      </w:r>
      <w:r w:rsidR="00DD0E3D">
        <w:t xml:space="preserve">. In this study, we have shown that OpenAI’s GPT API models can function as highly reliable second screeners even in complex review settings, </w:t>
      </w:r>
      <w:r w:rsidR="00897CA2">
        <w:t>making</w:t>
      </w:r>
      <w:r w:rsidR="00DD0E3D">
        <w:t xml:space="preserve"> it possible to substitute </w:t>
      </w:r>
      <w:r w:rsidR="007F2B4C">
        <w:t>one human in the duplicate screening process and reallocate human resources</w:t>
      </w:r>
      <w:r w:rsidR="00897CA2">
        <w:t xml:space="preserve">. </w:t>
      </w:r>
      <w:r w:rsidR="00106BC6">
        <w:t>In contrast to most previous research</w:t>
      </w:r>
      <w:r>
        <w:t xml:space="preserve"> </w:t>
      </w:r>
      <w:r>
        <w:fldChar w:fldCharType="begin" w:fldLock="1"/>
      </w:r>
      <w: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fldChar w:fldCharType="separate"/>
      </w:r>
      <w:r w:rsidRPr="00DE061E">
        <w:rPr>
          <w:noProof/>
        </w:rPr>
        <w:t>(Gargari et al., 2024; Guo et al., 2024)</w:t>
      </w:r>
      <w:r>
        <w:fldChar w:fldCharType="end"/>
      </w:r>
      <w:r w:rsidR="00106BC6">
        <w:t>, o</w:t>
      </w:r>
      <w:r w:rsidR="00897CA2">
        <w:t xml:space="preserve">ur findings suggested that </w:t>
      </w:r>
      <w:r w:rsidR="007F2B4C">
        <w:t xml:space="preserve">when configured correctly </w:t>
      </w:r>
      <w:r w:rsidR="00897CA2">
        <w:t xml:space="preserve">GPT API models </w:t>
      </w:r>
      <w:r w:rsidR="007F2B4C">
        <w:t>can perform on par with or even surpass human screeners</w:t>
      </w:r>
      <w:r w:rsidR="00897CA2">
        <w:t>.</w:t>
      </w:r>
      <w:r w:rsidR="00106BC6">
        <w:t xml:space="preserve"> In extension to previous research, we invented the use of</w:t>
      </w:r>
      <w:r w:rsidR="00897CA2">
        <w:t xml:space="preserve"> </w:t>
      </w:r>
      <w:r w:rsidR="00106BC6">
        <w:t xml:space="preserve">multiple-prompt screening (i.e., </w:t>
      </w:r>
      <w:r w:rsidR="007F2B4C">
        <w:t>making one prompt per inclusion/exclusion criteria of the review</w:t>
      </w:r>
      <w:r w:rsidR="00106BC6">
        <w:t xml:space="preserve">), and showed that this approach </w:t>
      </w:r>
      <w:r w:rsidR="002C4354">
        <w:t>makes it possible to</w:t>
      </w:r>
      <w:r w:rsidR="00106BC6">
        <w:t xml:space="preserve"> match human screening in highly complex reviews.</w:t>
      </w:r>
      <w:r>
        <w:t xml:space="preserve"> </w:t>
      </w:r>
      <w:r w:rsidR="007F2B4C">
        <w:t>W</w:t>
      </w:r>
      <w:r>
        <w:t>e</w:t>
      </w:r>
      <w:r w:rsidR="007F2B4C">
        <w:t xml:space="preserve">, therefore, </w:t>
      </w:r>
      <w:r>
        <w:t xml:space="preserve">believe that using GPT API models to conduct TAB screening represents the future state of high-quality reviews. However, this </w:t>
      </w:r>
      <w:r w:rsidR="007F2B4C">
        <w:t>necessitates</w:t>
      </w:r>
      <w:r>
        <w:t xml:space="preserve"> a standardized framework</w:t>
      </w:r>
      <w:r w:rsidR="00E72B05">
        <w:t xml:space="preserve"> for general acceptance among reviewers across scientific fields</w:t>
      </w:r>
      <w:r w:rsidR="00597502">
        <w:t>. wh</w:t>
      </w:r>
      <w:r w:rsidR="007F2B4C">
        <w:t>ich is why we present</w:t>
      </w:r>
      <w:r w:rsidR="00422433">
        <w:t xml:space="preserve"> </w:t>
      </w:r>
      <w:r w:rsidR="007F2B4C">
        <w:t xml:space="preserve">a </w:t>
      </w:r>
      <w:r>
        <w:t>tentative</w:t>
      </w:r>
      <w:r w:rsidR="007F2B4C">
        <w:t xml:space="preserve"> </w:t>
      </w:r>
      <w:r w:rsidR="00422433">
        <w:t xml:space="preserve">workflow and guidelines for when such screenings can be accepted in high-quality reviews. This </w:t>
      </w:r>
      <w:r w:rsidR="007F2B4C">
        <w:t xml:space="preserve">procedure </w:t>
      </w:r>
      <w:r w:rsidR="00422433">
        <w:t xml:space="preserve">involves the use of </w:t>
      </w:r>
      <w:r w:rsidR="00422433">
        <w:rPr>
          <w:rStyle w:val="translation"/>
        </w:rPr>
        <w:t xml:space="preserve">thorough pilot </w:t>
      </w:r>
      <w:r w:rsidR="00422433">
        <w:t xml:space="preserve">testing of the screening prompt(s) before making any full-scale screening. </w:t>
      </w:r>
      <w:r w:rsidR="00E72B05">
        <w:t>Hereto,</w:t>
      </w:r>
      <w:r w:rsidR="008C77AB">
        <w:t xml:space="preserve"> we</w:t>
      </w:r>
      <w:r w:rsidR="00E72B05">
        <w:t xml:space="preserve"> </w:t>
      </w:r>
      <w:r w:rsidR="008C77AB">
        <w:t xml:space="preserve">developed </w:t>
      </w:r>
      <w:r w:rsidR="008C77AB">
        <w:rPr>
          <w:lang w:val="en-US"/>
        </w:rPr>
        <w:t xml:space="preserve">a new benchmark scheme for interpreting acceptable and unacceptable screening performance in high-quality reviews based on </w:t>
      </w:r>
      <w:r w:rsidR="008C77AB">
        <w:t xml:space="preserve">the typical screening performance from 22 high-standard reviews either published in Campbell Systematic Reviews or conducted by </w:t>
      </w:r>
      <w:r w:rsidR="008C77AB">
        <w:rPr>
          <w:lang w:val="en-US"/>
        </w:rPr>
        <w:t>the Norwegian Institute of Public Health.</w:t>
      </w:r>
      <w:r w:rsidR="008C77AB" w:rsidRPr="008C77AB">
        <w:rPr>
          <w:lang w:val="en-US"/>
        </w:rPr>
        <w:t xml:space="preserve"> </w:t>
      </w:r>
      <w:r w:rsidR="007F2B4C">
        <w:rPr>
          <w:lang w:val="en-US"/>
        </w:rPr>
        <w:t>Based on this investigation</w:t>
      </w:r>
      <w:r w:rsidR="0079414D">
        <w:rPr>
          <w:lang w:val="en-US"/>
        </w:rPr>
        <w:t>, w</w:t>
      </w:r>
      <w:r w:rsidR="008C77AB">
        <w:rPr>
          <w:lang w:val="en-US"/>
        </w:rPr>
        <w:t>e suggest that automated screen</w:t>
      </w:r>
      <w:r w:rsidR="0079414D">
        <w:rPr>
          <w:lang w:val="en-US"/>
        </w:rPr>
        <w:t>ings</w:t>
      </w:r>
      <w:r w:rsidR="008C77AB">
        <w:rPr>
          <w:lang w:val="en-US"/>
        </w:rPr>
        <w:t xml:space="preserve"> yielding a recall rate above 80% during the pilot testing should be acknowledged as being on par with humans and</w:t>
      </w:r>
      <w:r w:rsidR="0079414D">
        <w:rPr>
          <w:lang w:val="en-US"/>
        </w:rPr>
        <w:t xml:space="preserve"> </w:t>
      </w:r>
      <w:r w:rsidR="008C77AB">
        <w:rPr>
          <w:lang w:val="en-US"/>
        </w:rPr>
        <w:t xml:space="preserve">can </w:t>
      </w:r>
      <w:r w:rsidR="0079414D">
        <w:rPr>
          <w:lang w:val="en-US"/>
        </w:rPr>
        <w:t xml:space="preserve">be </w:t>
      </w:r>
      <w:r w:rsidR="008C77AB">
        <w:rPr>
          <w:lang w:val="en-US"/>
        </w:rPr>
        <w:t>sa</w:t>
      </w:r>
      <w:r w:rsidR="0079414D">
        <w:rPr>
          <w:lang w:val="en-US"/>
        </w:rPr>
        <w:t>f</w:t>
      </w:r>
      <w:r w:rsidR="008C77AB">
        <w:rPr>
          <w:lang w:val="en-US"/>
        </w:rPr>
        <w:t>ely used as independent second screener</w:t>
      </w:r>
      <w:r w:rsidR="0079414D">
        <w:rPr>
          <w:lang w:val="en-US"/>
        </w:rPr>
        <w:t>s</w:t>
      </w:r>
      <w:r w:rsidR="008C77AB">
        <w:rPr>
          <w:lang w:val="en-US"/>
        </w:rPr>
        <w:t xml:space="preserve">. </w:t>
      </w:r>
      <w:r w:rsidR="0079414D">
        <w:rPr>
          <w:lang w:val="en-US"/>
        </w:rPr>
        <w:t xml:space="preserve">This recommendation resembles the approximately average recall rate (i.e., the ability to correctly include relevant studies) we found in the mapped high-quality reviews. </w:t>
      </w:r>
      <w:r w:rsidR="007F2B4C">
        <w:rPr>
          <w:lang w:val="en-US"/>
        </w:rPr>
        <w:t>In addition, w</w:t>
      </w:r>
      <w:r w:rsidR="0079414D">
        <w:rPr>
          <w:lang w:val="en-US"/>
        </w:rPr>
        <w:t xml:space="preserve">e suggest that </w:t>
      </w:r>
      <w:r w:rsidR="007F2B4C">
        <w:rPr>
          <w:lang w:val="en-US"/>
        </w:rPr>
        <w:t xml:space="preserve">a </w:t>
      </w:r>
      <w:r w:rsidR="0079414D">
        <w:rPr>
          <w:lang w:val="en-US"/>
        </w:rPr>
        <w:t xml:space="preserve">specificity </w:t>
      </w:r>
      <w:r w:rsidR="007F2B4C">
        <w:rPr>
          <w:lang w:val="en-US"/>
        </w:rPr>
        <w:t>rate</w:t>
      </w:r>
      <w:r w:rsidR="0079414D">
        <w:rPr>
          <w:lang w:val="en-US"/>
        </w:rPr>
        <w:t xml:space="preserve"> (i.e., the ability to correctly exclude irrelevant studies) equal to or above 80% should be accepted in high-standard reviews as long as the recall is also equal to above 80% since a low specificity rate does not induce any biases. This is premised upon the idea that it is more appropriate for automated screening tools to slightly over-inclusive because it forces the human reviewer to double-check close-to-relevant records, which, in turn, guards against overlooking relevant studies. </w:t>
      </w:r>
      <w:r w:rsidR="007F2B4C">
        <w:rPr>
          <w:lang w:val="en-US"/>
        </w:rPr>
        <w:t>To further enhance a standardized</w:t>
      </w:r>
      <w:r w:rsidR="006D3817">
        <w:rPr>
          <w:lang w:val="en-US"/>
        </w:rPr>
        <w:t xml:space="preserve"> </w:t>
      </w:r>
      <w:r w:rsidR="007F2B4C">
        <w:rPr>
          <w:lang w:val="en-US"/>
        </w:rPr>
        <w:t>setup for using</w:t>
      </w:r>
      <w:r w:rsidR="0079414D">
        <w:rPr>
          <w:lang w:val="en-US"/>
        </w:rPr>
        <w:t xml:space="preserve"> GPT API screening in future reviews, we have written the AIscreenR R package, allowing reviewers to draw on features such as function calling</w:t>
      </w:r>
      <w:r w:rsidR="007F2B4C">
        <w:rPr>
          <w:lang w:val="en-US"/>
        </w:rPr>
        <w:t xml:space="preserve"> (i.e., </w:t>
      </w:r>
      <w:r w:rsidR="00E72B05">
        <w:rPr>
          <w:lang w:val="en-US"/>
        </w:rPr>
        <w:t>making prompts without the need to explicitly specify how the model shall respond to the screening request)</w:t>
      </w:r>
      <w:r w:rsidR="0079414D">
        <w:rPr>
          <w:lang w:val="en-US"/>
        </w:rPr>
        <w:t xml:space="preserve"> as well as multi-core processing that can speed up screening significantly. </w:t>
      </w:r>
      <w:r w:rsidR="00597502">
        <w:rPr>
          <w:lang w:val="en-US"/>
        </w:rPr>
        <w:t xml:space="preserve">With these contributions, we have strived to accommodate the requirements put forward by evidence organizations such as Campbell Collaboration for when it is acceptable to incorporate AI tools in systematic reviews. </w:t>
      </w:r>
    </w:p>
    <w:p w14:paraId="12ECE8AC" w14:textId="77777777" w:rsidR="00DD0E3D" w:rsidRPr="00DD0E3D" w:rsidRDefault="00DD0E3D" w:rsidP="00515E21">
      <w:pPr>
        <w:spacing w:after="0" w:line="360" w:lineRule="auto"/>
        <w:jc w:val="both"/>
      </w:pPr>
    </w:p>
    <w:p w14:paraId="2150774D" w14:textId="7A829D80" w:rsidR="00F8213A" w:rsidRPr="008E4A35" w:rsidRDefault="00F8213A" w:rsidP="00515E21">
      <w:pPr>
        <w:pStyle w:val="ListParagraph"/>
        <w:numPr>
          <w:ilvl w:val="0"/>
          <w:numId w:val="1"/>
        </w:numPr>
        <w:spacing w:after="0" w:line="360" w:lineRule="auto"/>
        <w:jc w:val="both"/>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r w:rsidR="002C4354">
        <w:t>(How it facilitates scientific reserach)</w:t>
      </w:r>
    </w:p>
    <w:p w14:paraId="651F6427" w14:textId="77777777" w:rsidR="00521E21" w:rsidRPr="0011702D" w:rsidRDefault="00521E21" w:rsidP="00515E21">
      <w:pPr>
        <w:pStyle w:val="ListParagraph"/>
        <w:numPr>
          <w:ilvl w:val="0"/>
          <w:numId w:val="1"/>
        </w:numPr>
        <w:spacing w:after="0" w:line="360" w:lineRule="auto"/>
        <w:jc w:val="both"/>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515E21">
      <w:pPr>
        <w:pStyle w:val="ListParagraph"/>
        <w:numPr>
          <w:ilvl w:val="0"/>
          <w:numId w:val="1"/>
        </w:numPr>
        <w:spacing w:after="0" w:line="360" w:lineRule="auto"/>
        <w:jc w:val="both"/>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515E21">
      <w:pPr>
        <w:pStyle w:val="ListParagraph"/>
        <w:numPr>
          <w:ilvl w:val="0"/>
          <w:numId w:val="1"/>
        </w:numPr>
        <w:spacing w:after="0" w:line="360" w:lineRule="auto"/>
        <w:jc w:val="both"/>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515E21">
      <w:pPr>
        <w:pStyle w:val="ListParagraph"/>
        <w:numPr>
          <w:ilvl w:val="0"/>
          <w:numId w:val="1"/>
        </w:numPr>
        <w:spacing w:after="0" w:line="360" w:lineRule="auto"/>
        <w:jc w:val="both"/>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6EF6C668" w:rsidR="008E4A35" w:rsidRPr="00A150FF" w:rsidRDefault="008E4A35" w:rsidP="00515E21">
      <w:pPr>
        <w:pStyle w:val="ListParagraph"/>
        <w:numPr>
          <w:ilvl w:val="0"/>
          <w:numId w:val="1"/>
        </w:numPr>
        <w:spacing w:after="0" w:line="360" w:lineRule="auto"/>
        <w:jc w:val="both"/>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00DE061E" w:rsidRPr="00DE061E">
        <w:rPr>
          <w:noProof/>
          <w:lang w:val="en-US"/>
        </w:rPr>
        <w:t>(Shemilt et al., 2014, 2016)</w:t>
      </w:r>
      <w:r>
        <w:fldChar w:fldCharType="end"/>
      </w:r>
      <w:r w:rsidR="00A150FF">
        <w:t xml:space="preserve">. </w:t>
      </w:r>
      <w:r w:rsidR="00A150FF">
        <w:rPr>
          <w:lang w:val="en-US"/>
        </w:rPr>
        <w:t>Combine with traditional classifier models</w:t>
      </w:r>
    </w:p>
    <w:p w14:paraId="0A400D4B" w14:textId="625ED9D7" w:rsidR="008F3446" w:rsidRDefault="008F3446" w:rsidP="00515E21">
      <w:pPr>
        <w:pStyle w:val="ListParagraph"/>
        <w:numPr>
          <w:ilvl w:val="0"/>
          <w:numId w:val="1"/>
        </w:numPr>
        <w:spacing w:after="0" w:line="360" w:lineRule="auto"/>
        <w:jc w:val="both"/>
        <w:rPr>
          <w:lang w:val="en-US"/>
        </w:rPr>
      </w:pPr>
      <w:r>
        <w:rPr>
          <w:lang w:val="en-US"/>
        </w:rPr>
        <w:t>Extra security in low-budget and/or time-limited projects where there is only access to a single screener.</w:t>
      </w:r>
    </w:p>
    <w:p w14:paraId="6BD8049D" w14:textId="581214A8" w:rsidR="00D06CB7" w:rsidRDefault="00D06CB7" w:rsidP="00515E21">
      <w:pPr>
        <w:pStyle w:val="ListParagraph"/>
        <w:numPr>
          <w:ilvl w:val="0"/>
          <w:numId w:val="1"/>
        </w:numPr>
        <w:spacing w:after="0" w:line="360" w:lineRule="auto"/>
        <w:jc w:val="both"/>
        <w:rPr>
          <w:lang w:val="en-US"/>
        </w:rPr>
      </w:pPr>
      <w:r>
        <w:rPr>
          <w:lang w:val="en-US"/>
        </w:rPr>
        <w:t>No need for unnecessary restriction on search string.</w:t>
      </w:r>
      <w:r w:rsidR="0079414D">
        <w:rPr>
          <w:lang w:val="en-US"/>
        </w:rPr>
        <w:t xml:space="preserve"> (future research)</w:t>
      </w:r>
    </w:p>
    <w:p w14:paraId="1A8AC76A" w14:textId="558C6E12" w:rsidR="00927057" w:rsidRDefault="00927057" w:rsidP="00515E21">
      <w:pPr>
        <w:pStyle w:val="ListParagraph"/>
        <w:numPr>
          <w:ilvl w:val="0"/>
          <w:numId w:val="1"/>
        </w:numPr>
        <w:spacing w:after="0" w:line="360" w:lineRule="auto"/>
        <w:jc w:val="both"/>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515E21">
      <w:pPr>
        <w:pStyle w:val="ListParagraph"/>
        <w:numPr>
          <w:ilvl w:val="0"/>
          <w:numId w:val="1"/>
        </w:numPr>
        <w:spacing w:after="0" w:line="360" w:lineRule="auto"/>
        <w:jc w:val="both"/>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515E21">
      <w:pPr>
        <w:pStyle w:val="ListParagraph"/>
        <w:numPr>
          <w:ilvl w:val="0"/>
          <w:numId w:val="1"/>
        </w:numPr>
        <w:spacing w:after="0" w:line="360" w:lineRule="auto"/>
        <w:jc w:val="both"/>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515E21">
      <w:pPr>
        <w:pStyle w:val="ListParagraph"/>
        <w:numPr>
          <w:ilvl w:val="0"/>
          <w:numId w:val="1"/>
        </w:numPr>
        <w:spacing w:after="0" w:line="360" w:lineRule="auto"/>
        <w:jc w:val="both"/>
        <w:rPr>
          <w:lang w:val="en-US"/>
        </w:rPr>
      </w:pPr>
      <w:r>
        <w:rPr>
          <w:lang w:val="en-US"/>
        </w:rPr>
        <w:t xml:space="preserve">Requires continuous software development. </w:t>
      </w:r>
    </w:p>
    <w:p w14:paraId="78DD3C3C" w14:textId="0C2204B2" w:rsidR="00AF31B7" w:rsidRDefault="00AF31B7" w:rsidP="00515E21">
      <w:pPr>
        <w:pStyle w:val="ListParagraph"/>
        <w:numPr>
          <w:ilvl w:val="0"/>
          <w:numId w:val="1"/>
        </w:numPr>
        <w:spacing w:after="0" w:line="360" w:lineRule="auto"/>
        <w:jc w:val="both"/>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101AE8D3" w14:textId="7FD3963A" w:rsidR="00C05D15" w:rsidRDefault="00C05D15" w:rsidP="00AF31B7">
      <w:pPr>
        <w:pStyle w:val="ListParagraph"/>
        <w:numPr>
          <w:ilvl w:val="0"/>
          <w:numId w:val="1"/>
        </w:numPr>
        <w:spacing w:after="0" w:line="360" w:lineRule="auto"/>
        <w:rPr>
          <w:lang w:val="en-US"/>
        </w:rPr>
      </w:pPr>
      <w:r>
        <w:rPr>
          <w:lang w:val="en-US"/>
        </w:rPr>
        <w:t>The GPT API model seems generally to be over</w:t>
      </w:r>
      <w:r w:rsidR="00EF5857">
        <w:rPr>
          <w:lang w:val="en-US"/>
        </w:rPr>
        <w:t>-</w:t>
      </w:r>
      <w:r>
        <w:rPr>
          <w:lang w:val="en-US"/>
        </w:rPr>
        <w:t xml:space="preserve">inclusive than human but this just force the reviewers to double-check close-to-relevant studies. </w:t>
      </w:r>
    </w:p>
    <w:p w14:paraId="073C8EE6" w14:textId="50E83888" w:rsidR="0018428A" w:rsidRDefault="0018428A" w:rsidP="0018428A">
      <w:pPr>
        <w:pStyle w:val="ListParagraph"/>
        <w:numPr>
          <w:ilvl w:val="0"/>
          <w:numId w:val="1"/>
        </w:numPr>
        <w:spacing w:after="0" w:line="360" w:lineRule="auto"/>
        <w:rPr>
          <w:lang w:val="en-US"/>
        </w:rPr>
      </w:pPr>
      <w:r>
        <w:rPr>
          <w:lang w:val="en-US"/>
        </w:rPr>
        <w:t>Environmental impact (embrace the critiques from van Lissa). Combine with traditional machine learning and text-mining tools to reduce the number of records needed to be screened by the GPT API model</w:t>
      </w:r>
    </w:p>
    <w:p w14:paraId="77CD9185" w14:textId="01B54B39" w:rsidR="00EF5857" w:rsidRDefault="00EF5857" w:rsidP="0018428A">
      <w:pPr>
        <w:pStyle w:val="ListParagraph"/>
        <w:numPr>
          <w:ilvl w:val="0"/>
          <w:numId w:val="1"/>
        </w:numPr>
        <w:spacing w:after="0" w:line="360" w:lineRule="auto"/>
        <w:rPr>
          <w:lang w:val="en-US"/>
        </w:rPr>
      </w:pPr>
      <w:r>
        <w:rPr>
          <w:lang w:val="en-US"/>
        </w:rPr>
        <w:t xml:space="preserve">Use to screen references around certain stopping rule or all of the references left after given stopping rule.  </w:t>
      </w:r>
    </w:p>
    <w:p w14:paraId="2313734B" w14:textId="431FF42A" w:rsidR="00AE4C3A" w:rsidRDefault="00AE4C3A" w:rsidP="00AE4C3A">
      <w:pPr>
        <w:pStyle w:val="NormalWeb"/>
        <w:numPr>
          <w:ilvl w:val="0"/>
          <w:numId w:val="1"/>
        </w:numPr>
        <w:spacing w:line="360" w:lineRule="auto"/>
        <w:jc w:val="both"/>
      </w:pPr>
      <w:r>
        <w:t xml:space="preserve">Important to use other types of searches such as back and forward citation tracking etc (add more) to re-enter potentially missed studies. </w:t>
      </w:r>
    </w:p>
    <w:p w14:paraId="01D914EB" w14:textId="77777777" w:rsidR="008832F2" w:rsidRDefault="00267BFF" w:rsidP="008832F2">
      <w:pPr>
        <w:pStyle w:val="NormalWeb"/>
        <w:numPr>
          <w:ilvl w:val="0"/>
          <w:numId w:val="1"/>
        </w:numPr>
        <w:spacing w:line="360" w:lineRule="auto"/>
        <w:jc w:val="both"/>
      </w:pPr>
      <w:r>
        <w:t xml:space="preserve">Traditional classifier models and GPT models should not be seen as competing tools but should used together to overcome each other's disadvantages.  </w:t>
      </w:r>
    </w:p>
    <w:p w14:paraId="215D634B" w14:textId="0312C340" w:rsidR="00397DD6" w:rsidRPr="008832F2" w:rsidRDefault="00397DD6" w:rsidP="008832F2">
      <w:pPr>
        <w:pStyle w:val="NormalWeb"/>
        <w:numPr>
          <w:ilvl w:val="0"/>
          <w:numId w:val="1"/>
        </w:numPr>
        <w:spacing w:line="360" w:lineRule="auto"/>
        <w:jc w:val="both"/>
      </w:pPr>
      <w:r w:rsidRPr="008832F2">
        <w:t xml:space="preserve">They can potentially save a lot tedious work for human that can be spent or improving the quality of a systematic reviews. For example on assessing fabrication issue in the review. </w:t>
      </w:r>
    </w:p>
    <w:p w14:paraId="3AB74830" w14:textId="21D2B38C" w:rsidR="00397DD6" w:rsidRPr="00D62B01" w:rsidRDefault="00397DD6" w:rsidP="00D62B01">
      <w:pPr>
        <w:spacing w:after="0" w:line="360" w:lineRule="auto"/>
        <w:jc w:val="both"/>
        <w:rPr>
          <w:lang w:val="en-US"/>
        </w:rPr>
      </w:pPr>
    </w:p>
    <w:p w14:paraId="58FD2739" w14:textId="77777777" w:rsidR="00D62B01" w:rsidRPr="0011702D" w:rsidRDefault="00D62B01" w:rsidP="006F63D8">
      <w:pPr>
        <w:spacing w:after="0" w:line="360" w:lineRule="auto"/>
        <w:rPr>
          <w:i/>
          <w:lang w:val="en-US"/>
        </w:rPr>
      </w:pPr>
    </w:p>
    <w:p w14:paraId="3C1B12CD" w14:textId="77777777" w:rsidR="008832F2" w:rsidRDefault="008832F2" w:rsidP="006F63D8">
      <w:pPr>
        <w:spacing w:after="0" w:line="360" w:lineRule="auto"/>
        <w:rPr>
          <w:b/>
          <w:lang w:val="en-US"/>
        </w:rPr>
      </w:pPr>
    </w:p>
    <w:p w14:paraId="0E254CFD" w14:textId="77777777" w:rsidR="008832F2" w:rsidRDefault="008832F2" w:rsidP="006F63D8">
      <w:pPr>
        <w:spacing w:after="0" w:line="360" w:lineRule="auto"/>
        <w:rPr>
          <w:b/>
          <w:lang w:val="en-US"/>
        </w:rPr>
      </w:pPr>
    </w:p>
    <w:p w14:paraId="579063E1" w14:textId="77777777" w:rsidR="008832F2" w:rsidRDefault="008832F2"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06862173" w14:textId="3329A540" w:rsidR="00DE061E" w:rsidRPr="00DE061E" w:rsidRDefault="00A23F06" w:rsidP="00DE061E">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DE061E" w:rsidRPr="00DE061E">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DE061E" w:rsidRPr="00DE061E">
        <w:rPr>
          <w:rFonts w:cs="Times New Roman"/>
          <w:i/>
          <w:iCs/>
          <w:noProof/>
          <w:szCs w:val="24"/>
        </w:rPr>
        <w:t>Systems</w:t>
      </w:r>
      <w:r w:rsidR="00DE061E" w:rsidRPr="00DE061E">
        <w:rPr>
          <w:rFonts w:cs="Times New Roman"/>
          <w:noProof/>
          <w:szCs w:val="24"/>
        </w:rPr>
        <w:t xml:space="preserve">, </w:t>
      </w:r>
      <w:r w:rsidR="00DE061E" w:rsidRPr="00DE061E">
        <w:rPr>
          <w:rFonts w:cs="Times New Roman"/>
          <w:i/>
          <w:iCs/>
          <w:noProof/>
          <w:szCs w:val="24"/>
        </w:rPr>
        <w:t>11</w:t>
      </w:r>
      <w:r w:rsidR="00DE061E" w:rsidRPr="00DE061E">
        <w:rPr>
          <w:rFonts w:cs="Times New Roman"/>
          <w:noProof/>
          <w:szCs w:val="24"/>
        </w:rPr>
        <w:t>(7), 351.</w:t>
      </w:r>
    </w:p>
    <w:p w14:paraId="62BDF9A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Ames, H., Hestevik, C. H., &amp; Briggs, A. M. (2024). Acceptability, values, and preferences of older people for chronic low back pain management; a qualitative evidence synthesis. </w:t>
      </w:r>
      <w:r w:rsidRPr="00DE061E">
        <w:rPr>
          <w:rFonts w:cs="Times New Roman"/>
          <w:i/>
          <w:iCs/>
          <w:noProof/>
          <w:szCs w:val="24"/>
        </w:rPr>
        <w:t>BMC Geriatrics</w:t>
      </w:r>
      <w:r w:rsidRPr="00DE061E">
        <w:rPr>
          <w:rFonts w:cs="Times New Roman"/>
          <w:noProof/>
          <w:szCs w:val="24"/>
        </w:rPr>
        <w:t xml:space="preserve">, </w:t>
      </w:r>
      <w:r w:rsidRPr="00DE061E">
        <w:rPr>
          <w:rFonts w:cs="Times New Roman"/>
          <w:i/>
          <w:iCs/>
          <w:noProof/>
          <w:szCs w:val="24"/>
        </w:rPr>
        <w:t>24</w:t>
      </w:r>
      <w:r w:rsidRPr="00DE061E">
        <w:rPr>
          <w:rFonts w:cs="Times New Roman"/>
          <w:noProof/>
          <w:szCs w:val="24"/>
        </w:rPr>
        <w:t>(1), 1–22. https://doi.org/10.1186/s12877-023-04608-4</w:t>
      </w:r>
    </w:p>
    <w:p w14:paraId="2D1FD423"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Boetje, J., &amp; van de Schoot, R. (2024). The SAFE procedure: a practical stopping heuristic for active learning-based screening in systematic reviews and meta-analyses.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13</w:t>
      </w:r>
      <w:r w:rsidRPr="00DE061E">
        <w:rPr>
          <w:rFonts w:cs="Times New Roman"/>
          <w:noProof/>
          <w:szCs w:val="24"/>
        </w:rPr>
        <w:t>(1), 81.</w:t>
      </w:r>
    </w:p>
    <w:p w14:paraId="391A1357"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Bøg, M., Filges, T., &amp; Jørgensen, A. M. K. (2018). Deployment of personnel to military operations: impact on mental health and social functioning.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14</w:t>
      </w:r>
      <w:r w:rsidRPr="00DE061E">
        <w:rPr>
          <w:rFonts w:cs="Times New Roman"/>
          <w:noProof/>
          <w:szCs w:val="24"/>
        </w:rPr>
        <w:t>(1), 1–127. https://doi.org/https://doi.org/10.4073/csr.2018.6</w:t>
      </w:r>
    </w:p>
    <w:p w14:paraId="3864B52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19</w:t>
      </w:r>
      <w:r w:rsidRPr="00DE061E">
        <w:rPr>
          <w:rFonts w:cs="Times New Roman"/>
          <w:noProof/>
          <w:szCs w:val="24"/>
        </w:rPr>
        <w:t>(3), e1345.</w:t>
      </w:r>
    </w:p>
    <w:p w14:paraId="0A86EDD1"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19</w:t>
      </w:r>
      <w:r w:rsidRPr="00DE061E">
        <w:rPr>
          <w:rFonts w:cs="Times New Roman"/>
          <w:noProof/>
          <w:szCs w:val="24"/>
        </w:rPr>
        <w:t>(4), e1371. https://doi.org/https://doi.org/10.1002/cl2.1371</w:t>
      </w:r>
    </w:p>
    <w:p w14:paraId="755E316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Borenstein, M., Hedges, L. V., Higgins, J. P. T., &amp; Rothstein, H. R. (2009). </w:t>
      </w:r>
      <w:r w:rsidRPr="00DE061E">
        <w:rPr>
          <w:rFonts w:cs="Times New Roman"/>
          <w:i/>
          <w:iCs/>
          <w:noProof/>
          <w:szCs w:val="24"/>
        </w:rPr>
        <w:t>Introduction to meta-analysis</w:t>
      </w:r>
      <w:r w:rsidRPr="00DE061E">
        <w:rPr>
          <w:rFonts w:cs="Times New Roman"/>
          <w:noProof/>
          <w:szCs w:val="24"/>
        </w:rPr>
        <w:t xml:space="preserve"> (1st ed.). John Wiley &amp; Sons.</w:t>
      </w:r>
    </w:p>
    <w:p w14:paraId="399B463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DE061E">
        <w:rPr>
          <w:rFonts w:cs="Times New Roman"/>
          <w:i/>
          <w:iCs/>
          <w:noProof/>
          <w:szCs w:val="24"/>
        </w:rPr>
        <w:t>Humanities and Social Sciences Communications</w:t>
      </w:r>
      <w:r w:rsidRPr="00DE061E">
        <w:rPr>
          <w:rFonts w:cs="Times New Roman"/>
          <w:noProof/>
          <w:szCs w:val="24"/>
        </w:rPr>
        <w:t xml:space="preserve">, </w:t>
      </w:r>
      <w:r w:rsidRPr="00DE061E">
        <w:rPr>
          <w:rFonts w:cs="Times New Roman"/>
          <w:i/>
          <w:iCs/>
          <w:noProof/>
          <w:szCs w:val="24"/>
        </w:rPr>
        <w:t>8</w:t>
      </w:r>
      <w:r w:rsidRPr="00DE061E">
        <w:rPr>
          <w:rFonts w:cs="Times New Roman"/>
          <w:noProof/>
          <w:szCs w:val="24"/>
        </w:rPr>
        <w:t>(1), 1–15.</w:t>
      </w:r>
    </w:p>
    <w:p w14:paraId="14E286F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Brunton, J., Stansfield, C., Caird, J., &amp; Thomas, J. (2017). Finding relevant studies. In D. Gough, S. Oliver, &amp; J. Thomas (Eds.), </w:t>
      </w:r>
      <w:r w:rsidRPr="00DE061E">
        <w:rPr>
          <w:rFonts w:cs="Times New Roman"/>
          <w:i/>
          <w:iCs/>
          <w:noProof/>
          <w:szCs w:val="24"/>
        </w:rPr>
        <w:t>An introduction to systematic reviews</w:t>
      </w:r>
      <w:r w:rsidRPr="00DE061E">
        <w:rPr>
          <w:rFonts w:cs="Times New Roman"/>
          <w:noProof/>
          <w:szCs w:val="24"/>
        </w:rPr>
        <w:t xml:space="preserve"> (2nd ed., pp. 93–122). Sage.</w:t>
      </w:r>
    </w:p>
    <w:p w14:paraId="5160DF1D"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Burgard, T., &amp; Bittermann, A. (2023). Reducing Literature Screening Workload With Machine Learning. </w:t>
      </w:r>
      <w:r w:rsidRPr="00DE061E">
        <w:rPr>
          <w:rFonts w:cs="Times New Roman"/>
          <w:i/>
          <w:iCs/>
          <w:noProof/>
          <w:szCs w:val="24"/>
        </w:rPr>
        <w:t>Zeitschrift Für Psychologie</w:t>
      </w:r>
      <w:r w:rsidRPr="00DE061E">
        <w:rPr>
          <w:rFonts w:cs="Times New Roman"/>
          <w:noProof/>
          <w:szCs w:val="24"/>
        </w:rPr>
        <w:t>.</w:t>
      </w:r>
    </w:p>
    <w:p w14:paraId="0C5C4184"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Buscemi, N., Hartling, L., Vandermeer, B., Tjosvold, L., &amp; Klassen, T. P. (2006). Single data extraction generated more errors than double data extraction in systematic reviews. </w:t>
      </w:r>
      <w:r w:rsidRPr="00DE061E">
        <w:rPr>
          <w:rFonts w:cs="Times New Roman"/>
          <w:i/>
          <w:iCs/>
          <w:noProof/>
          <w:szCs w:val="24"/>
        </w:rPr>
        <w:t>Journal of Clinical Epidemiology</w:t>
      </w:r>
      <w:r w:rsidRPr="00DE061E">
        <w:rPr>
          <w:rFonts w:cs="Times New Roman"/>
          <w:noProof/>
          <w:szCs w:val="24"/>
        </w:rPr>
        <w:t xml:space="preserve">, </w:t>
      </w:r>
      <w:r w:rsidRPr="00DE061E">
        <w:rPr>
          <w:rFonts w:cs="Times New Roman"/>
          <w:i/>
          <w:iCs/>
          <w:noProof/>
          <w:szCs w:val="24"/>
        </w:rPr>
        <w:t>59</w:t>
      </w:r>
      <w:r w:rsidRPr="00DE061E">
        <w:rPr>
          <w:rFonts w:cs="Times New Roman"/>
          <w:noProof/>
          <w:szCs w:val="24"/>
        </w:rPr>
        <w:t>(7), 697–703.</w:t>
      </w:r>
    </w:p>
    <w:p w14:paraId="4A4A209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Campbell Collaboration. (2023). </w:t>
      </w:r>
      <w:r w:rsidRPr="00DE061E">
        <w:rPr>
          <w:rFonts w:cs="Times New Roman"/>
          <w:i/>
          <w:iCs/>
          <w:noProof/>
          <w:szCs w:val="24"/>
        </w:rPr>
        <w:t>Stepping up evidence synthesis: faster, cheaper and more useful</w:t>
      </w:r>
      <w:r w:rsidRPr="00DE061E">
        <w:rPr>
          <w:rFonts w:cs="Times New Roman"/>
          <w:noProof/>
          <w:szCs w:val="24"/>
        </w:rPr>
        <w:t>. https://www.campbellcollaboration.org/news-and-events/news/stepping-up-evidence-synthesis.html</w:t>
      </w:r>
    </w:p>
    <w:p w14:paraId="18D1578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Campos, D. G., Fütterer, T., Gfrörer, T., Lavelle-Hill, R. E., Murayama, K., König, L., Hecht, M., Zitzmann, S., &amp; Scherer, R. (2023). </w:t>
      </w:r>
      <w:r w:rsidRPr="00DE061E">
        <w:rPr>
          <w:rFonts w:cs="Times New Roman"/>
          <w:i/>
          <w:iCs/>
          <w:noProof/>
          <w:szCs w:val="24"/>
        </w:rPr>
        <w:t>Screening Smarter, Not Harder: A Comparative Analysis of Machine Learning Screening Algorithms and Heuristic Stopping Criteria for Systematic Reviews in Educational Research</w:t>
      </w:r>
      <w:r w:rsidRPr="00DE061E">
        <w:rPr>
          <w:rFonts w:cs="Times New Roman"/>
          <w:noProof/>
          <w:szCs w:val="24"/>
        </w:rPr>
        <w:t>.</w:t>
      </w:r>
    </w:p>
    <w:p w14:paraId="32180753"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Chicco, D., &amp; Jurman, G. (2023). The Matthews correlation coefficient (MCC) should replace the ROC AUC as the standard metric for assessing binary classification. </w:t>
      </w:r>
      <w:r w:rsidRPr="00DE061E">
        <w:rPr>
          <w:rFonts w:cs="Times New Roman"/>
          <w:i/>
          <w:iCs/>
          <w:noProof/>
          <w:szCs w:val="24"/>
        </w:rPr>
        <w:t>BioData Mining</w:t>
      </w:r>
      <w:r w:rsidRPr="00DE061E">
        <w:rPr>
          <w:rFonts w:cs="Times New Roman"/>
          <w:noProof/>
          <w:szCs w:val="24"/>
        </w:rPr>
        <w:t xml:space="preserve">, </w:t>
      </w:r>
      <w:r w:rsidRPr="00DE061E">
        <w:rPr>
          <w:rFonts w:cs="Times New Roman"/>
          <w:i/>
          <w:iCs/>
          <w:noProof/>
          <w:szCs w:val="24"/>
        </w:rPr>
        <w:t>16</w:t>
      </w:r>
      <w:r w:rsidRPr="00DE061E">
        <w:rPr>
          <w:rFonts w:cs="Times New Roman"/>
          <w:noProof/>
          <w:szCs w:val="24"/>
        </w:rPr>
        <w:t>(1), 1–23.</w:t>
      </w:r>
    </w:p>
    <w:p w14:paraId="5EDDCBD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Cohen, A. M., Hersh, W. R., Peterson, K., &amp; Yen, P.-Y. (2006). Reducing workload in systematic review preparation using automated citation classification. </w:t>
      </w:r>
      <w:r w:rsidRPr="00DE061E">
        <w:rPr>
          <w:rFonts w:cs="Times New Roman"/>
          <w:i/>
          <w:iCs/>
          <w:noProof/>
          <w:szCs w:val="24"/>
        </w:rPr>
        <w:t>Journal of the American Medical Informatics Association</w:t>
      </w:r>
      <w:r w:rsidRPr="00DE061E">
        <w:rPr>
          <w:rFonts w:cs="Times New Roman"/>
          <w:noProof/>
          <w:szCs w:val="24"/>
        </w:rPr>
        <w:t xml:space="preserve">, </w:t>
      </w:r>
      <w:r w:rsidRPr="00DE061E">
        <w:rPr>
          <w:rFonts w:cs="Times New Roman"/>
          <w:i/>
          <w:iCs/>
          <w:noProof/>
          <w:szCs w:val="24"/>
        </w:rPr>
        <w:t>13</w:t>
      </w:r>
      <w:r w:rsidRPr="00DE061E">
        <w:rPr>
          <w:rFonts w:cs="Times New Roman"/>
          <w:noProof/>
          <w:szCs w:val="24"/>
        </w:rPr>
        <w:t>(2), 206–219.</w:t>
      </w:r>
    </w:p>
    <w:p w14:paraId="7DE235B8"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18</w:t>
      </w:r>
      <w:r w:rsidRPr="00DE061E">
        <w:rPr>
          <w:rFonts w:cs="Times New Roman"/>
          <w:noProof/>
          <w:szCs w:val="24"/>
        </w:rPr>
        <w:t>(2), e1239. https://doi.org/https://doi.org/10.1002/cl2.1239</w:t>
      </w:r>
    </w:p>
    <w:p w14:paraId="6A33D7A4"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18</w:t>
      </w:r>
      <w:r w:rsidRPr="00DE061E">
        <w:rPr>
          <w:rFonts w:cs="Times New Roman"/>
          <w:noProof/>
          <w:szCs w:val="24"/>
        </w:rPr>
        <w:t>(4), e1291. https://doi.org/https://doi.org/10.1002/cl2.1291</w:t>
      </w:r>
    </w:p>
    <w:p w14:paraId="61E49BE6"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18</w:t>
      </w:r>
      <w:r w:rsidRPr="00DE061E">
        <w:rPr>
          <w:rFonts w:cs="Times New Roman"/>
          <w:noProof/>
          <w:szCs w:val="24"/>
        </w:rPr>
        <w:t>(1), e1209. https://doi.org/https://doi.org/10.1002/cl2.1209</w:t>
      </w:r>
    </w:p>
    <w:p w14:paraId="1A3DA0E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18</w:t>
      </w:r>
      <w:r w:rsidRPr="00DE061E">
        <w:rPr>
          <w:rFonts w:cs="Times New Roman"/>
          <w:noProof/>
          <w:szCs w:val="24"/>
        </w:rPr>
        <w:t>(3), e1254. https://doi.org/10.1002/cl2.1254</w:t>
      </w:r>
    </w:p>
    <w:p w14:paraId="49533375"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16</w:t>
      </w:r>
      <w:r w:rsidRPr="00DE061E">
        <w:rPr>
          <w:rFonts w:cs="Times New Roman"/>
          <w:noProof/>
          <w:szCs w:val="24"/>
        </w:rPr>
        <w:t>(2), e1081. https://doi.org/10.1002/cl2.1081</w:t>
      </w:r>
    </w:p>
    <w:p w14:paraId="17E9F26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17</w:t>
      </w:r>
      <w:r w:rsidRPr="00DE061E">
        <w:rPr>
          <w:rFonts w:cs="Times New Roman"/>
          <w:noProof/>
          <w:szCs w:val="24"/>
        </w:rPr>
        <w:t>(2), e1152. https://doi.org/10.1002/cl2.1152</w:t>
      </w:r>
    </w:p>
    <w:p w14:paraId="050576FF"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Doi, S. A., &amp; Xu, C. (2021). The Freeman–Tukey double arcsine transformation for the meta-analysis of proportions: Recent criticisms were seriously misleading. </w:t>
      </w:r>
      <w:r w:rsidRPr="00DE061E">
        <w:rPr>
          <w:rFonts w:cs="Times New Roman"/>
          <w:i/>
          <w:iCs/>
          <w:noProof/>
          <w:szCs w:val="24"/>
        </w:rPr>
        <w:t>Journal of Evidence-Based Medicine</w:t>
      </w:r>
      <w:r w:rsidRPr="00DE061E">
        <w:rPr>
          <w:rFonts w:cs="Times New Roman"/>
          <w:noProof/>
          <w:szCs w:val="24"/>
        </w:rPr>
        <w:t xml:space="preserve">, </w:t>
      </w:r>
      <w:r w:rsidRPr="00DE061E">
        <w:rPr>
          <w:rFonts w:cs="Times New Roman"/>
          <w:i/>
          <w:iCs/>
          <w:noProof/>
          <w:szCs w:val="24"/>
        </w:rPr>
        <w:t>14</w:t>
      </w:r>
      <w:r w:rsidRPr="00DE061E">
        <w:rPr>
          <w:rFonts w:cs="Times New Roman"/>
          <w:noProof/>
          <w:szCs w:val="24"/>
        </w:rPr>
        <w:t>(4), 259–261. https://doi.org/https://doi.org/10.1111/jebm.12445</w:t>
      </w:r>
    </w:p>
    <w:p w14:paraId="3DB2C7BD"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EPPI-Centre. (2024). </w:t>
      </w:r>
      <w:r w:rsidRPr="00DE061E">
        <w:rPr>
          <w:rFonts w:cs="Times New Roman"/>
          <w:i/>
          <w:iCs/>
          <w:noProof/>
          <w:szCs w:val="24"/>
        </w:rPr>
        <w:t>Automated data extraction using GPT-4</w:t>
      </w:r>
      <w:r w:rsidRPr="00DE061E">
        <w:rPr>
          <w:rFonts w:cs="Times New Roman"/>
          <w:noProof/>
          <w:szCs w:val="24"/>
        </w:rPr>
        <w:t>. https://eppi.ioe.ac.uk/cms/Default.aspx?tabid=3921</w:t>
      </w:r>
    </w:p>
    <w:p w14:paraId="0EA572DB"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Evensen, L. H., Kleven, L., Dahm, K. T., Hafstad, E. V., Holte, H. H., Robberstad, B., &amp; Risstad, H. (2023). </w:t>
      </w:r>
      <w:r w:rsidRPr="00DE061E">
        <w:rPr>
          <w:rFonts w:cs="Times New Roman"/>
          <w:i/>
          <w:iCs/>
          <w:noProof/>
          <w:szCs w:val="24"/>
        </w:rPr>
        <w:t>Sutur av degenerative rotatorcuff-rupturer: en fullstendig metodevurdering [Rotator cuff repair for degenerative rotator cuff tears: a health technology assessment].</w:t>
      </w:r>
      <w:r w:rsidRPr="00DE061E">
        <w:rPr>
          <w:rFonts w:cs="Times New Roman"/>
          <w:noProof/>
          <w:szCs w:val="24"/>
        </w:rPr>
        <w:t xml:space="preserve"> https://www.fhi.no/publ/2023/sutur-av-degenerative-rotatorcuff-rupturer/</w:t>
      </w:r>
    </w:p>
    <w:p w14:paraId="7C340330"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Andersen, D., &amp; Jørgensen, A.-M. K. (2015). Functional Family Therapy (FFT) for Young People in Treatment for Non-opioid Drug Use: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11</w:t>
      </w:r>
      <w:r w:rsidRPr="00DE061E">
        <w:rPr>
          <w:rFonts w:cs="Times New Roman"/>
          <w:noProof/>
          <w:szCs w:val="24"/>
        </w:rPr>
        <w:t>(1), 1–77. https://doi.org/https://doi.org/10.4073/csr.2015.14</w:t>
      </w:r>
    </w:p>
    <w:p w14:paraId="726B3B26"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18</w:t>
      </w:r>
      <w:r w:rsidRPr="00DE061E">
        <w:rPr>
          <w:rFonts w:cs="Times New Roman"/>
          <w:noProof/>
          <w:szCs w:val="24"/>
        </w:rPr>
        <w:t>(4), e1282. https://doi.org/https://doi.org/10.1002/cl2.1282</w:t>
      </w:r>
    </w:p>
    <w:p w14:paraId="16C9249B"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Dietrichson, J., Viinholt, B. C. A., &amp; Dalgaard, N. T. (2022). Service learning for improving academic success in students in grade K to 12: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18</w:t>
      </w:r>
      <w:r w:rsidRPr="00DE061E">
        <w:rPr>
          <w:rFonts w:cs="Times New Roman"/>
          <w:noProof/>
          <w:szCs w:val="24"/>
        </w:rPr>
        <w:t>(1), e1210. https://doi.org/https://doi.org/10.1002/cl2.1210</w:t>
      </w:r>
    </w:p>
    <w:p w14:paraId="3D8E1544"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Montgomery, E., Kastrup, M., &amp; Jørgensen, A.-M. K. (2015). The Impact of Detention on the Health of Asylum Seekers: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11</w:t>
      </w:r>
      <w:r w:rsidRPr="00DE061E">
        <w:rPr>
          <w:rFonts w:cs="Times New Roman"/>
          <w:noProof/>
          <w:szCs w:val="24"/>
        </w:rPr>
        <w:t>(1), 1–104. https://doi.org/https://doi.org/10.4073/csr.2015.13</w:t>
      </w:r>
    </w:p>
    <w:p w14:paraId="0ED2AC12"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Siren, A., Fridberg, T., &amp; Nielsen, B. C. V. (2020). Voluntary work for the physical and mental health of older volunteers: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16</w:t>
      </w:r>
      <w:r w:rsidRPr="00DE061E">
        <w:rPr>
          <w:rFonts w:cs="Times New Roman"/>
          <w:noProof/>
          <w:szCs w:val="24"/>
        </w:rPr>
        <w:t>(4), e1124. https://doi.org/https://doi.org/10.1002/cl2.1124</w:t>
      </w:r>
    </w:p>
    <w:p w14:paraId="431FE443"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Smedslund, G., Eriksen, T., &amp; Birkefoss, K. (2023). PROTOCOL: The FRIENDS preventive programme for reducing anxiety symptoms in children and adolescents: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19</w:t>
      </w:r>
      <w:r w:rsidRPr="00DE061E">
        <w:rPr>
          <w:rFonts w:cs="Times New Roman"/>
          <w:noProof/>
          <w:szCs w:val="24"/>
        </w:rPr>
        <w:t>(4), e1374. https://doi.org/https://doi.org/10.1002/cl2.1374</w:t>
      </w:r>
    </w:p>
    <w:p w14:paraId="3984C13F"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Sonne‐Schmidt, C. S., &amp; Nielsen, B. C. V. (2018). Small class sizes for improving student achievement in primary and secondary schools: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14</w:t>
      </w:r>
      <w:r w:rsidRPr="00DE061E">
        <w:rPr>
          <w:rFonts w:cs="Times New Roman"/>
          <w:noProof/>
          <w:szCs w:val="24"/>
        </w:rPr>
        <w:t>(1), 1–107. https://doi.org/10.4073/csr.2018.10</w:t>
      </w:r>
    </w:p>
    <w:p w14:paraId="34F65EB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15</w:t>
      </w:r>
      <w:r w:rsidRPr="00DE061E">
        <w:rPr>
          <w:rFonts w:cs="Times New Roman"/>
          <w:noProof/>
          <w:szCs w:val="24"/>
        </w:rPr>
        <w:t>(4), e1060. https://doi.org/https://doi.org/10.1002/cl2.1060</w:t>
      </w:r>
    </w:p>
    <w:p w14:paraId="6A9D2BC2"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19</w:t>
      </w:r>
      <w:r w:rsidRPr="00DE061E">
        <w:rPr>
          <w:rFonts w:cs="Times New Roman"/>
          <w:noProof/>
          <w:szCs w:val="24"/>
        </w:rPr>
        <w:t>(2), e1321. https://doi.org/https://doi.org/10.1002/cl2.1321</w:t>
      </w:r>
    </w:p>
    <w:p w14:paraId="2AA4AD0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Gargari, O. K., Mahmoudi, M. H., Hajisafarali, M., &amp; Samiee, R. (2024). Enhancing title and abstract screening for systematic reviews with GPT-3.5 turbo. </w:t>
      </w:r>
      <w:r w:rsidRPr="00DE061E">
        <w:rPr>
          <w:rFonts w:cs="Times New Roman"/>
          <w:i/>
          <w:iCs/>
          <w:noProof/>
          <w:szCs w:val="24"/>
        </w:rPr>
        <w:t>BMJ Evidence-Based Medicine</w:t>
      </w:r>
      <w:r w:rsidRPr="00DE061E">
        <w:rPr>
          <w:rFonts w:cs="Times New Roman"/>
          <w:noProof/>
          <w:szCs w:val="24"/>
        </w:rPr>
        <w:t xml:space="preserve">, </w:t>
      </w:r>
      <w:r w:rsidRPr="00DE061E">
        <w:rPr>
          <w:rFonts w:cs="Times New Roman"/>
          <w:i/>
          <w:iCs/>
          <w:noProof/>
          <w:szCs w:val="24"/>
        </w:rPr>
        <w:t>29</w:t>
      </w:r>
      <w:r w:rsidRPr="00DE061E">
        <w:rPr>
          <w:rFonts w:cs="Times New Roman"/>
          <w:noProof/>
          <w:szCs w:val="24"/>
        </w:rPr>
        <w:t>(1), 69 LP – 70. https://doi.org/10.1136/bmjebm-2023-112678</w:t>
      </w:r>
    </w:p>
    <w:p w14:paraId="0A8EF9E8"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8</w:t>
      </w:r>
      <w:r w:rsidRPr="00DE061E">
        <w:rPr>
          <w:rFonts w:cs="Times New Roman"/>
          <w:noProof/>
          <w:szCs w:val="24"/>
        </w:rPr>
        <w:t>(1), 277. https://doi.org/10.1186/s13643-019-1221-3</w:t>
      </w:r>
    </w:p>
    <w:p w14:paraId="2A15DF46"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Gough, D., Oliver, S., &amp; Thomas, J. (2017). </w:t>
      </w:r>
      <w:r w:rsidRPr="00DE061E">
        <w:rPr>
          <w:rFonts w:cs="Times New Roman"/>
          <w:i/>
          <w:iCs/>
          <w:noProof/>
          <w:szCs w:val="24"/>
        </w:rPr>
        <w:t>An introduction to systematic reviews</w:t>
      </w:r>
      <w:r w:rsidRPr="00DE061E">
        <w:rPr>
          <w:rFonts w:cs="Times New Roman"/>
          <w:noProof/>
          <w:szCs w:val="24"/>
        </w:rPr>
        <w:t xml:space="preserve"> (2nd ed.). Sage.</w:t>
      </w:r>
    </w:p>
    <w:p w14:paraId="2423376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Guo, E., Gupta, M., Deng, J., Park, Y.-J., Paget, M., &amp; Naugler, C. (2024). Automated Paper Screening for Clinical Reviews Using Large Language Models: Data Analysis Study. </w:t>
      </w:r>
      <w:r w:rsidRPr="00DE061E">
        <w:rPr>
          <w:rFonts w:cs="Times New Roman"/>
          <w:i/>
          <w:iCs/>
          <w:noProof/>
          <w:szCs w:val="24"/>
        </w:rPr>
        <w:t>J Med Internet Res</w:t>
      </w:r>
      <w:r w:rsidRPr="00DE061E">
        <w:rPr>
          <w:rFonts w:cs="Times New Roman"/>
          <w:noProof/>
          <w:szCs w:val="24"/>
        </w:rPr>
        <w:t xml:space="preserve">, </w:t>
      </w:r>
      <w:r w:rsidRPr="00DE061E">
        <w:rPr>
          <w:rFonts w:cs="Times New Roman"/>
          <w:i/>
          <w:iCs/>
          <w:noProof/>
          <w:szCs w:val="24"/>
        </w:rPr>
        <w:t>26</w:t>
      </w:r>
      <w:r w:rsidRPr="00DE061E">
        <w:rPr>
          <w:rFonts w:cs="Times New Roman"/>
          <w:noProof/>
          <w:szCs w:val="24"/>
        </w:rPr>
        <w:t>, e48996. https://doi.org/10.2196/48996</w:t>
      </w:r>
    </w:p>
    <w:p w14:paraId="761236DF"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Hedges, L. V. (1992). Modeling Publication Selection Effects in Meta-Analysis. </w:t>
      </w:r>
      <w:r w:rsidRPr="00DE061E">
        <w:rPr>
          <w:rFonts w:cs="Times New Roman"/>
          <w:i/>
          <w:iCs/>
          <w:noProof/>
          <w:szCs w:val="24"/>
        </w:rPr>
        <w:t>Statistical Science</w:t>
      </w:r>
      <w:r w:rsidRPr="00DE061E">
        <w:rPr>
          <w:rFonts w:cs="Times New Roman"/>
          <w:noProof/>
          <w:szCs w:val="24"/>
        </w:rPr>
        <w:t xml:space="preserve">, </w:t>
      </w:r>
      <w:r w:rsidRPr="00DE061E">
        <w:rPr>
          <w:rFonts w:cs="Times New Roman"/>
          <w:i/>
          <w:iCs/>
          <w:noProof/>
          <w:szCs w:val="24"/>
        </w:rPr>
        <w:t>7</w:t>
      </w:r>
      <w:r w:rsidRPr="00DE061E">
        <w:rPr>
          <w:rFonts w:cs="Times New Roman"/>
          <w:noProof/>
          <w:szCs w:val="24"/>
        </w:rPr>
        <w:t>(2), 246–255. http://www.jstor.org/stable/2246311</w:t>
      </w:r>
    </w:p>
    <w:p w14:paraId="33D006E4"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Higgins, J. P. T., Thomas, J., Chandler, J., Cumpston, M. S., Li, T., Page, M., &amp; Welch, V. (2019). </w:t>
      </w:r>
      <w:r w:rsidRPr="00DE061E">
        <w:rPr>
          <w:rFonts w:cs="Times New Roman"/>
          <w:i/>
          <w:iCs/>
          <w:noProof/>
          <w:szCs w:val="24"/>
        </w:rPr>
        <w:t>Cochrane handbook for systematic reviews of interventions</w:t>
      </w:r>
      <w:r w:rsidRPr="00DE061E">
        <w:rPr>
          <w:rFonts w:cs="Times New Roman"/>
          <w:noProof/>
          <w:szCs w:val="24"/>
        </w:rPr>
        <w:t xml:space="preserve"> (2nd ed.). Wiley Online Library. https://doi.org/10.1002/9781119536604</w:t>
      </w:r>
    </w:p>
    <w:p w14:paraId="4EA538A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Hou, Z., &amp; Tipton, E. (2024). Enhancing recall in automated record screening: A resampling algorithm.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n/a</w:t>
      </w:r>
      <w:r w:rsidRPr="00DE061E">
        <w:rPr>
          <w:rFonts w:cs="Times New Roman"/>
          <w:noProof/>
          <w:szCs w:val="24"/>
        </w:rPr>
        <w:t>(n/a). https://doi.org/https://doi.org/10.1002/jrsm.1690</w:t>
      </w:r>
    </w:p>
    <w:p w14:paraId="337B9173"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DE061E">
        <w:rPr>
          <w:rFonts w:cs="Times New Roman"/>
          <w:i/>
          <w:iCs/>
          <w:noProof/>
          <w:szCs w:val="24"/>
        </w:rPr>
        <w:t>BMC Medical Research Methodology</w:t>
      </w:r>
      <w:r w:rsidRPr="00DE061E">
        <w:rPr>
          <w:rFonts w:cs="Times New Roman"/>
          <w:noProof/>
          <w:szCs w:val="24"/>
        </w:rPr>
        <w:t xml:space="preserve">, </w:t>
      </w:r>
      <w:r w:rsidRPr="00DE061E">
        <w:rPr>
          <w:rFonts w:cs="Times New Roman"/>
          <w:i/>
          <w:iCs/>
          <w:noProof/>
          <w:szCs w:val="24"/>
        </w:rPr>
        <w:t>24</w:t>
      </w:r>
      <w:r w:rsidRPr="00DE061E">
        <w:rPr>
          <w:rFonts w:cs="Times New Roman"/>
          <w:noProof/>
          <w:szCs w:val="24"/>
        </w:rPr>
        <w:t>(1), 78. https://doi.org/10.1186/s12874-024-02203-8</w:t>
      </w:r>
    </w:p>
    <w:p w14:paraId="2687AB64"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Jardim, P. S. J., Borge, T. C., &amp; Johansen, T. B. (2021). </w:t>
      </w:r>
      <w:r w:rsidRPr="00DE061E">
        <w:rPr>
          <w:rFonts w:cs="Times New Roman"/>
          <w:i/>
          <w:iCs/>
          <w:noProof/>
          <w:szCs w:val="24"/>
        </w:rPr>
        <w:t>Effekten av antipsykotika ved førstegangspsykose: en systematisk oversikt [The effect of antipsychotics on first episode psychosis]</w:t>
      </w:r>
      <w:r w:rsidRPr="00DE061E">
        <w:rPr>
          <w:rFonts w:cs="Times New Roman"/>
          <w:noProof/>
          <w:szCs w:val="24"/>
        </w:rPr>
        <w:t>. https://fhi.no/publ/2021/effekten-av-antipsykotika-ved-forstegangspsykose/</w:t>
      </w:r>
    </w:p>
    <w:p w14:paraId="3DC6E12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Johansen, T. B., Nøkleby, H., Langøien, L. J., &amp; Borge, T. C. (2022). </w:t>
      </w:r>
      <w:r w:rsidRPr="00DE061E">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DE061E">
        <w:rPr>
          <w:rFonts w:cs="Times New Roman"/>
          <w:noProof/>
          <w:szCs w:val="24"/>
        </w:rPr>
        <w:t>. https://www.fhi.no/publ/2022/samvars--og-bostedsordninger-etter-samlivsbrudd-betydninger-for-barn-og-ung/</w:t>
      </w:r>
    </w:p>
    <w:p w14:paraId="11B8C6D3"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Jonnalagadda, S. R., Goyal, P., &amp; Huffman, M. D. (2015). Automating data extraction in systematic reviews: a systematic review.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4</w:t>
      </w:r>
      <w:r w:rsidRPr="00DE061E">
        <w:rPr>
          <w:rFonts w:cs="Times New Roman"/>
          <w:noProof/>
          <w:szCs w:val="24"/>
        </w:rPr>
        <w:t>(1), 78. https://doi.org/10.1186/s13643-015-0066-7</w:t>
      </w:r>
    </w:p>
    <w:p w14:paraId="78B059D3"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n/a</w:t>
      </w:r>
      <w:r w:rsidRPr="00DE061E">
        <w:rPr>
          <w:rFonts w:cs="Times New Roman"/>
          <w:noProof/>
          <w:szCs w:val="24"/>
        </w:rPr>
        <w:t>(n/a). https://doi.org/https://doi.org/10.1002/jrsm.1715</w:t>
      </w:r>
    </w:p>
    <w:p w14:paraId="2072F74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König, L., Zitzmann, S., Fütterer, T., Campos, D. G., Scherer, R., &amp; Hecht, M. (2023). </w:t>
      </w:r>
      <w:r w:rsidRPr="00DE061E">
        <w:rPr>
          <w:rFonts w:cs="Times New Roman"/>
          <w:i/>
          <w:iCs/>
          <w:noProof/>
          <w:szCs w:val="24"/>
        </w:rPr>
        <w:t>When to stop and what to expect—An Evaluation of the performance of stopping rules in AI-assisted reviewing for psychological meta-analytical research</w:t>
      </w:r>
      <w:r w:rsidRPr="00DE061E">
        <w:rPr>
          <w:rFonts w:cs="Times New Roman"/>
          <w:noProof/>
          <w:szCs w:val="24"/>
        </w:rPr>
        <w:t>.</w:t>
      </w:r>
    </w:p>
    <w:p w14:paraId="7586245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Kugley, S., Wade, A., Thomas, J., Mahood, Q., Jørgensen, A.-M. K., Hammerstrøm, K., &amp; Sathe, N. (2016). Searching for studies: A guide to information retrieval for Campbell.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13</w:t>
      </w:r>
      <w:r w:rsidRPr="00DE061E">
        <w:rPr>
          <w:rFonts w:cs="Times New Roman"/>
          <w:noProof/>
          <w:szCs w:val="24"/>
        </w:rPr>
        <w:t>(1), 1–73. https://doi.org/10.4073/cmg.2016.1</w:t>
      </w:r>
    </w:p>
    <w:p w14:paraId="362D99A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Meneses Echavez, J. F., Borge, T. C., Nygård, H. T., Gaustad, J.-V., &amp; Hval, G. (2022). </w:t>
      </w:r>
      <w:r w:rsidRPr="00DE061E">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DE061E">
        <w:rPr>
          <w:rFonts w:cs="Times New Roman"/>
          <w:noProof/>
          <w:szCs w:val="24"/>
        </w:rPr>
        <w:t>. https://www.fhi.no/publ/2022/psykologisk-debriefing-for-helsepersonell-involvert-i-uonskede-pasienthende/</w:t>
      </w:r>
    </w:p>
    <w:p w14:paraId="0E6CEA1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3</w:t>
      </w:r>
      <w:r w:rsidRPr="00DE061E">
        <w:rPr>
          <w:rFonts w:cs="Times New Roman"/>
          <w:noProof/>
          <w:szCs w:val="24"/>
        </w:rPr>
        <w:t>, 1–8.</w:t>
      </w:r>
    </w:p>
    <w:p w14:paraId="035D84A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O’Connor, A. M., Tsafnat, G., Thomas, J., Glasziou, P., Gilbert, S. B., &amp; Hutton, B. (2019). A question of trust: can we build an evidence base to gain trust in systematic review automation technologies?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8</w:t>
      </w:r>
      <w:r w:rsidRPr="00DE061E">
        <w:rPr>
          <w:rFonts w:cs="Times New Roman"/>
          <w:noProof/>
          <w:szCs w:val="24"/>
        </w:rPr>
        <w:t>(1), 1–8.</w:t>
      </w:r>
    </w:p>
    <w:p w14:paraId="35B767D1"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O’Mara-Eves, A., Thomas, J., McNaught, J., Miwa, M., &amp; Ananiadou, S. (2015). Using text mining for study identification in systematic reviews: a systematic review of current approaches.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4</w:t>
      </w:r>
      <w:r w:rsidRPr="00DE061E">
        <w:rPr>
          <w:rFonts w:cs="Times New Roman"/>
          <w:noProof/>
          <w:szCs w:val="24"/>
        </w:rPr>
        <w:t>(1), 1–22.</w:t>
      </w:r>
    </w:p>
    <w:p w14:paraId="581692A5"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8</w:t>
      </w:r>
      <w:r w:rsidRPr="00DE061E">
        <w:rPr>
          <w:rFonts w:cs="Times New Roman"/>
          <w:noProof/>
          <w:szCs w:val="24"/>
        </w:rPr>
        <w:t>(3), 275–280.</w:t>
      </w:r>
    </w:p>
    <w:p w14:paraId="750495F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Olorisade, B. K., Brereton, P., &amp; Andras, P. (2017). Reproducibility of studies on text mining for citation screening in systematic reviews: Evaluation and checklist. </w:t>
      </w:r>
      <w:r w:rsidRPr="00DE061E">
        <w:rPr>
          <w:rFonts w:cs="Times New Roman"/>
          <w:i/>
          <w:iCs/>
          <w:noProof/>
          <w:szCs w:val="24"/>
        </w:rPr>
        <w:t>Journal of Biomedical Informatics</w:t>
      </w:r>
      <w:r w:rsidRPr="00DE061E">
        <w:rPr>
          <w:rFonts w:cs="Times New Roman"/>
          <w:noProof/>
          <w:szCs w:val="24"/>
        </w:rPr>
        <w:t xml:space="preserve">, </w:t>
      </w:r>
      <w:r w:rsidRPr="00DE061E">
        <w:rPr>
          <w:rFonts w:cs="Times New Roman"/>
          <w:i/>
          <w:iCs/>
          <w:noProof/>
          <w:szCs w:val="24"/>
        </w:rPr>
        <w:t>73</w:t>
      </w:r>
      <w:r w:rsidRPr="00DE061E">
        <w:rPr>
          <w:rFonts w:cs="Times New Roman"/>
          <w:noProof/>
          <w:szCs w:val="24"/>
        </w:rPr>
        <w:t>, 1–13. https://doi.org/https://doi.org/10.1016/j.jbi.2017.07.010</w:t>
      </w:r>
    </w:p>
    <w:p w14:paraId="4BFAE0C7"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Olorisade, B. K., de Quincey, E., Brereton, P., &amp; Andras, P. (2016). A critical analysis of studies that address the use of text mining for citation screening in systematic reviews. </w:t>
      </w:r>
      <w:r w:rsidRPr="00DE061E">
        <w:rPr>
          <w:rFonts w:cs="Times New Roman"/>
          <w:i/>
          <w:iCs/>
          <w:noProof/>
          <w:szCs w:val="24"/>
        </w:rPr>
        <w:t>Proceedings of the 20th International Conference on Evaluation and Assessment in Software Engineering</w:t>
      </w:r>
      <w:r w:rsidRPr="00DE061E">
        <w:rPr>
          <w:rFonts w:cs="Times New Roman"/>
          <w:noProof/>
          <w:szCs w:val="24"/>
        </w:rPr>
        <w:t>, 1–11.</w:t>
      </w:r>
    </w:p>
    <w:p w14:paraId="728E126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OpenAI. (2024). </w:t>
      </w:r>
      <w:r w:rsidRPr="00DE061E">
        <w:rPr>
          <w:rFonts w:cs="Times New Roman"/>
          <w:i/>
          <w:iCs/>
          <w:noProof/>
          <w:szCs w:val="24"/>
        </w:rPr>
        <w:t>Function calling</w:t>
      </w:r>
      <w:r w:rsidRPr="00DE061E">
        <w:rPr>
          <w:rFonts w:cs="Times New Roman"/>
          <w:noProof/>
          <w:szCs w:val="24"/>
        </w:rPr>
        <w:t>. https://platform.openai.com/docs/guides/function-calling</w:t>
      </w:r>
    </w:p>
    <w:p w14:paraId="4F65BB29"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Pacheco, R. L., Riera, R., Santos, G. M., Sá, K. M. M., Bomfim, L. G. P., da Silva, G. R., de Oliveira, F. R., &amp; Martimbianco, A. L. C. (2023). Many systematic reviews with a single author are indexed in PubMed. </w:t>
      </w:r>
      <w:r w:rsidRPr="00DE061E">
        <w:rPr>
          <w:rFonts w:cs="Times New Roman"/>
          <w:i/>
          <w:iCs/>
          <w:noProof/>
          <w:szCs w:val="24"/>
        </w:rPr>
        <w:t>Journal of Clinical Epidemiology</w:t>
      </w:r>
      <w:r w:rsidRPr="00DE061E">
        <w:rPr>
          <w:rFonts w:cs="Times New Roman"/>
          <w:noProof/>
          <w:szCs w:val="24"/>
        </w:rPr>
        <w:t xml:space="preserve">, </w:t>
      </w:r>
      <w:r w:rsidRPr="00DE061E">
        <w:rPr>
          <w:rFonts w:cs="Times New Roman"/>
          <w:i/>
          <w:iCs/>
          <w:noProof/>
          <w:szCs w:val="24"/>
        </w:rPr>
        <w:t>156</w:t>
      </w:r>
      <w:r w:rsidRPr="00DE061E">
        <w:rPr>
          <w:rFonts w:cs="Times New Roman"/>
          <w:noProof/>
          <w:szCs w:val="24"/>
        </w:rPr>
        <w:t>, 124–126.</w:t>
      </w:r>
    </w:p>
    <w:p w14:paraId="0CC9EC8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Perlman‐Arrow, S., Loo, N., Bobrovitz, N., Yan, T., &amp; Arora, R. K. (2023). A real‐world evaluation of the implementation of NLP technology in abstract screening of a systematic review.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14</w:t>
      </w:r>
      <w:r w:rsidRPr="00DE061E">
        <w:rPr>
          <w:rFonts w:cs="Times New Roman"/>
          <w:noProof/>
          <w:szCs w:val="24"/>
        </w:rPr>
        <w:t>(4), 608–621.</w:t>
      </w:r>
    </w:p>
    <w:p w14:paraId="3984190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Polanin, J. R., Pigott, T. D., Espelage, D. L., &amp; Grotpeter, J. K. (2019). Best practice guidelines for abstract screening large-evidence systematic reviews and meta-analyses.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10</w:t>
      </w:r>
      <w:r w:rsidRPr="00DE061E">
        <w:rPr>
          <w:rFonts w:cs="Times New Roman"/>
          <w:noProof/>
          <w:szCs w:val="24"/>
        </w:rPr>
        <w:t>(3), 330–342. https://doi.org/https://doi.org/10.1002/jrsm.1354</w:t>
      </w:r>
    </w:p>
    <w:p w14:paraId="1BC1633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Pustejovsky, J. E. (2020). </w:t>
      </w:r>
      <w:r w:rsidRPr="00DE061E">
        <w:rPr>
          <w:rFonts w:cs="Times New Roman"/>
          <w:i/>
          <w:iCs/>
          <w:noProof/>
          <w:szCs w:val="24"/>
        </w:rPr>
        <w:t>clubSandwich: Cluster-robust (sandwich) variance estimators with small-sample corrections</w:t>
      </w:r>
      <w:r w:rsidRPr="00DE061E">
        <w:rPr>
          <w:rFonts w:cs="Times New Roman"/>
          <w:noProof/>
          <w:szCs w:val="24"/>
        </w:rPr>
        <w:t xml:space="preserve"> (0.5.5). cran.r-project.org. https://cran.r-project.org/web/packages/clubSandwich/index.html</w:t>
      </w:r>
    </w:p>
    <w:p w14:paraId="6508BD07"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Pustejovsky, J. E., &amp; Tipton, E. (2021). Meta-analysis with robust variance estimation: Expanding the range of working models. </w:t>
      </w:r>
      <w:r w:rsidRPr="00DE061E">
        <w:rPr>
          <w:rFonts w:cs="Times New Roman"/>
          <w:i/>
          <w:iCs/>
          <w:noProof/>
          <w:szCs w:val="24"/>
        </w:rPr>
        <w:t>Prevention Science</w:t>
      </w:r>
      <w:r w:rsidRPr="00DE061E">
        <w:rPr>
          <w:rFonts w:cs="Times New Roman"/>
          <w:noProof/>
          <w:szCs w:val="24"/>
        </w:rPr>
        <w:t xml:space="preserve">, </w:t>
      </w:r>
      <w:r w:rsidRPr="00DE061E">
        <w:rPr>
          <w:rFonts w:cs="Times New Roman"/>
          <w:i/>
          <w:iCs/>
          <w:noProof/>
          <w:szCs w:val="24"/>
        </w:rPr>
        <w:t>23</w:t>
      </w:r>
      <w:r w:rsidRPr="00DE061E">
        <w:rPr>
          <w:rFonts w:cs="Times New Roman"/>
          <w:noProof/>
          <w:szCs w:val="24"/>
        </w:rPr>
        <w:t>(1), 425–438. https://doi.org/10.1007/s11121-021-01246-3</w:t>
      </w:r>
    </w:p>
    <w:p w14:paraId="1B489348"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R Core Team. (2022). </w:t>
      </w:r>
      <w:r w:rsidRPr="00DE061E">
        <w:rPr>
          <w:rFonts w:cs="Times New Roman"/>
          <w:i/>
          <w:iCs/>
          <w:noProof/>
          <w:szCs w:val="24"/>
        </w:rPr>
        <w:t>R: A language and environment for statistical computing</w:t>
      </w:r>
      <w:r w:rsidRPr="00DE061E">
        <w:rPr>
          <w:rFonts w:cs="Times New Roman"/>
          <w:noProof/>
          <w:szCs w:val="24"/>
        </w:rPr>
        <w:t>. R Foundation for Statistical Computing, Vienna, Austria. https://www.r-project.org/</w:t>
      </w:r>
    </w:p>
    <w:p w14:paraId="4A46ED8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Rathbone, J., Hoffmann, T., &amp; Glasziou, P. (2015). Faster title and abstract screening? Evaluating Abstrackr, a semi-automated online screening program for systematic reviewers.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4</w:t>
      </w:r>
      <w:r w:rsidRPr="00DE061E">
        <w:rPr>
          <w:rFonts w:cs="Times New Roman"/>
          <w:noProof/>
          <w:szCs w:val="24"/>
        </w:rPr>
        <w:t>(1), 1–7.</w:t>
      </w:r>
    </w:p>
    <w:p w14:paraId="1E13FD23"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Rothstein, H. R., Sutton, A. J., &amp; Borenstein, M. (2005). Publication bias in meta-analysis. In H. R. Rothstein, A. J. Sutton, &amp; M. Borenstein (Eds.), </w:t>
      </w:r>
      <w:r w:rsidRPr="00DE061E">
        <w:rPr>
          <w:rFonts w:cs="Times New Roman"/>
          <w:i/>
          <w:iCs/>
          <w:noProof/>
          <w:szCs w:val="24"/>
        </w:rPr>
        <w:t>Publication bias in meta-analysis: Prevention, assessment and adjustments</w:t>
      </w:r>
      <w:r w:rsidRPr="00DE061E">
        <w:rPr>
          <w:rFonts w:cs="Times New Roman"/>
          <w:noProof/>
          <w:szCs w:val="24"/>
        </w:rPr>
        <w:t>. Wiley Online Library.</w:t>
      </w:r>
    </w:p>
    <w:p w14:paraId="7FE2E30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Röver, C., &amp; Friede, T. (2022). Double arcsine transform not appropriate for meta-analysis.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13</w:t>
      </w:r>
      <w:r w:rsidRPr="00DE061E">
        <w:rPr>
          <w:rFonts w:cs="Times New Roman"/>
          <w:noProof/>
          <w:szCs w:val="24"/>
        </w:rPr>
        <w:t>(5), 645–648. https://doi.org/https://doi.org/10.1002/jrsm.1591</w:t>
      </w:r>
    </w:p>
    <w:p w14:paraId="3E2D8AE5"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RStudio Team. (2015). </w:t>
      </w:r>
      <w:r w:rsidRPr="00DE061E">
        <w:rPr>
          <w:rFonts w:cs="Times New Roman"/>
          <w:i/>
          <w:iCs/>
          <w:noProof/>
          <w:szCs w:val="24"/>
        </w:rPr>
        <w:t>RStudio: Integrated development for R</w:t>
      </w:r>
      <w:r w:rsidRPr="00DE061E">
        <w:rPr>
          <w:rFonts w:cs="Times New Roman"/>
          <w:noProof/>
          <w:szCs w:val="24"/>
        </w:rPr>
        <w:t>. RStudio, Inc., Boston, MA. https://www.rstudio.com/</w:t>
      </w:r>
    </w:p>
    <w:p w14:paraId="743641F0"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10</w:t>
      </w:r>
      <w:r w:rsidRPr="00DE061E">
        <w:rPr>
          <w:rFonts w:cs="Times New Roman"/>
          <w:noProof/>
          <w:szCs w:val="24"/>
        </w:rPr>
        <w:t>(3), 476–483. https://doi.org/https://doi.org/10.1002/jrsm.1348</w:t>
      </w:r>
    </w:p>
    <w:p w14:paraId="608C90B7"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Shadish, W. R., Cook, T. D., &amp; Campbell, D. T. (2002). </w:t>
      </w:r>
      <w:r w:rsidRPr="00DE061E">
        <w:rPr>
          <w:rFonts w:cs="Times New Roman"/>
          <w:i/>
          <w:iCs/>
          <w:noProof/>
          <w:szCs w:val="24"/>
        </w:rPr>
        <w:t>Experimental and Quasi-Experimental Designs for Generalized Causal Inference</w:t>
      </w:r>
      <w:r w:rsidRPr="00DE061E">
        <w:rPr>
          <w:rFonts w:cs="Times New Roman"/>
          <w:noProof/>
          <w:szCs w:val="24"/>
        </w:rPr>
        <w:t xml:space="preserve"> (2nd ed.). Cengage Learning, Inc.</w:t>
      </w:r>
    </w:p>
    <w:p w14:paraId="0B98B87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Shemilt, I., Khan, N., Park, S., &amp; Thomas, J. (2016). Use of cost-effectiveness analysis to compare the efficiency of study identification methods in systematic reviews.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5</w:t>
      </w:r>
      <w:r w:rsidRPr="00DE061E">
        <w:rPr>
          <w:rFonts w:cs="Times New Roman"/>
          <w:noProof/>
          <w:szCs w:val="24"/>
        </w:rPr>
        <w:t>, 1–13.</w:t>
      </w:r>
    </w:p>
    <w:p w14:paraId="7CEA5E7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5</w:t>
      </w:r>
      <w:r w:rsidRPr="00DE061E">
        <w:rPr>
          <w:rFonts w:cs="Times New Roman"/>
          <w:noProof/>
          <w:szCs w:val="24"/>
        </w:rPr>
        <w:t>(1), 31–49. https://doi.org/https://doi.org/10.1002/jrsm.1093</w:t>
      </w:r>
    </w:p>
    <w:p w14:paraId="4637BB66"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Stoll, C. R. T., Izadi, S., Fowler, S., Green, P., Suls, J., &amp; Colditz, G. A. (2019). The value of a second reviewer for study selection in systematic reviews.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10</w:t>
      </w:r>
      <w:r w:rsidRPr="00DE061E">
        <w:rPr>
          <w:rFonts w:cs="Times New Roman"/>
          <w:noProof/>
          <w:szCs w:val="24"/>
        </w:rPr>
        <w:t>(4), 539–545. https://doi.org/10.1002/jrsm.1369</w:t>
      </w:r>
    </w:p>
    <w:p w14:paraId="631D17B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Syriani, E., David, I., &amp; Kumar, G. (2023). Assessing the Ability of ChatGPT to Screen Articles for Systematic Reviews. </w:t>
      </w:r>
      <w:r w:rsidRPr="00DE061E">
        <w:rPr>
          <w:rFonts w:cs="Times New Roman"/>
          <w:i/>
          <w:iCs/>
          <w:noProof/>
          <w:szCs w:val="24"/>
        </w:rPr>
        <w:t>ArXiv Preprint ArXiv:2307.06464</w:t>
      </w:r>
      <w:r w:rsidRPr="00DE061E">
        <w:rPr>
          <w:rFonts w:cs="Times New Roman"/>
          <w:noProof/>
          <w:szCs w:val="24"/>
        </w:rPr>
        <w:t>.</w:t>
      </w:r>
    </w:p>
    <w:p w14:paraId="6E2485C6"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Thomsen, M. K., Seerup, J. K., Dietrichson, J., Bondebjerg, A., &amp; Viinholt, B. C. A. (2022). PROTOCOL: Testing frequency and student achievement: A systematic review. </w:t>
      </w:r>
      <w:r w:rsidRPr="00DE061E">
        <w:rPr>
          <w:rFonts w:cs="Times New Roman"/>
          <w:i/>
          <w:iCs/>
          <w:noProof/>
          <w:szCs w:val="24"/>
        </w:rPr>
        <w:t>Campbell Systematic Reviews</w:t>
      </w:r>
      <w:r w:rsidRPr="00DE061E">
        <w:rPr>
          <w:rFonts w:cs="Times New Roman"/>
          <w:noProof/>
          <w:szCs w:val="24"/>
        </w:rPr>
        <w:t xml:space="preserve">, </w:t>
      </w:r>
      <w:r w:rsidRPr="00DE061E">
        <w:rPr>
          <w:rFonts w:cs="Times New Roman"/>
          <w:i/>
          <w:iCs/>
          <w:noProof/>
          <w:szCs w:val="24"/>
        </w:rPr>
        <w:t>18</w:t>
      </w:r>
      <w:r w:rsidRPr="00DE061E">
        <w:rPr>
          <w:rFonts w:cs="Times New Roman"/>
          <w:noProof/>
          <w:szCs w:val="24"/>
        </w:rPr>
        <w:t>(1), e1212. https://doi.org/https://doi.org/10.1002/cl2.1212</w:t>
      </w:r>
    </w:p>
    <w:p w14:paraId="0A2CEE26"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Tipton, E., &amp; Pustejovsky, J. E. (2015). Small-sample adjustments for tests of moderators and model fit using robust variance estimation in meta-regression. </w:t>
      </w:r>
      <w:r w:rsidRPr="00DE061E">
        <w:rPr>
          <w:rFonts w:cs="Times New Roman"/>
          <w:i/>
          <w:iCs/>
          <w:noProof/>
          <w:szCs w:val="24"/>
        </w:rPr>
        <w:t>Journal of Educational and Behavioral Statistics</w:t>
      </w:r>
      <w:r w:rsidRPr="00DE061E">
        <w:rPr>
          <w:rFonts w:cs="Times New Roman"/>
          <w:noProof/>
          <w:szCs w:val="24"/>
        </w:rPr>
        <w:t xml:space="preserve">, </w:t>
      </w:r>
      <w:r w:rsidRPr="00DE061E">
        <w:rPr>
          <w:rFonts w:cs="Times New Roman"/>
          <w:i/>
          <w:iCs/>
          <w:noProof/>
          <w:szCs w:val="24"/>
        </w:rPr>
        <w:t>40</w:t>
      </w:r>
      <w:r w:rsidRPr="00DE061E">
        <w:rPr>
          <w:rFonts w:cs="Times New Roman"/>
          <w:noProof/>
          <w:szCs w:val="24"/>
        </w:rPr>
        <w:t>(6), 604–634. https://doi.org/10.3102/1076998615606099</w:t>
      </w:r>
    </w:p>
    <w:p w14:paraId="78B8ECF6"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Tsafnat, G., Glasziou, P., Choong, M. K., Dunn, A., Galgani, F., &amp; Coiera, E. (2014). Systematic review automation technologies. </w:t>
      </w:r>
      <w:r w:rsidRPr="00DE061E">
        <w:rPr>
          <w:rFonts w:cs="Times New Roman"/>
          <w:i/>
          <w:iCs/>
          <w:noProof/>
          <w:szCs w:val="24"/>
        </w:rPr>
        <w:t>Systematic Reviews</w:t>
      </w:r>
      <w:r w:rsidRPr="00DE061E">
        <w:rPr>
          <w:rFonts w:cs="Times New Roman"/>
          <w:noProof/>
          <w:szCs w:val="24"/>
        </w:rPr>
        <w:t xml:space="preserve">, </w:t>
      </w:r>
      <w:r w:rsidRPr="00DE061E">
        <w:rPr>
          <w:rFonts w:cs="Times New Roman"/>
          <w:i/>
          <w:iCs/>
          <w:noProof/>
          <w:szCs w:val="24"/>
        </w:rPr>
        <w:t>3</w:t>
      </w:r>
      <w:r w:rsidRPr="00DE061E">
        <w:rPr>
          <w:rFonts w:cs="Times New Roman"/>
          <w:noProof/>
          <w:szCs w:val="24"/>
        </w:rPr>
        <w:t>(1), 74. https://doi.org/10.1186/2046-4053-3-74</w:t>
      </w:r>
    </w:p>
    <w:p w14:paraId="69678C4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Valentine, J. C. (2009). Judging the quality of primary research. </w:t>
      </w:r>
      <w:r w:rsidRPr="00DE061E">
        <w:rPr>
          <w:rFonts w:cs="Times New Roman"/>
          <w:i/>
          <w:iCs/>
          <w:noProof/>
          <w:szCs w:val="24"/>
        </w:rPr>
        <w:t>The Handbook of Research Synthesis and Meta-Analysis</w:t>
      </w:r>
      <w:r w:rsidRPr="00DE061E">
        <w:rPr>
          <w:rFonts w:cs="Times New Roman"/>
          <w:noProof/>
          <w:szCs w:val="24"/>
        </w:rPr>
        <w:t xml:space="preserve">, </w:t>
      </w:r>
      <w:r w:rsidRPr="00DE061E">
        <w:rPr>
          <w:rFonts w:cs="Times New Roman"/>
          <w:i/>
          <w:iCs/>
          <w:noProof/>
          <w:szCs w:val="24"/>
        </w:rPr>
        <w:t>2</w:t>
      </w:r>
      <w:r w:rsidRPr="00DE061E">
        <w:rPr>
          <w:rFonts w:cs="Times New Roman"/>
          <w:noProof/>
          <w:szCs w:val="24"/>
        </w:rPr>
        <w:t>, 129–146.</w:t>
      </w:r>
    </w:p>
    <w:p w14:paraId="447E7EC0"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DE061E">
        <w:rPr>
          <w:rFonts w:cs="Times New Roman"/>
          <w:i/>
          <w:iCs/>
          <w:noProof/>
          <w:szCs w:val="24"/>
        </w:rPr>
        <w:t>Nature Machine Intelligence</w:t>
      </w:r>
      <w:r w:rsidRPr="00DE061E">
        <w:rPr>
          <w:rFonts w:cs="Times New Roman"/>
          <w:noProof/>
          <w:szCs w:val="24"/>
        </w:rPr>
        <w:t xml:space="preserve">, </w:t>
      </w:r>
      <w:r w:rsidRPr="00DE061E">
        <w:rPr>
          <w:rFonts w:cs="Times New Roman"/>
          <w:i/>
          <w:iCs/>
          <w:noProof/>
          <w:szCs w:val="24"/>
        </w:rPr>
        <w:t>3</w:t>
      </w:r>
      <w:r w:rsidRPr="00DE061E">
        <w:rPr>
          <w:rFonts w:cs="Times New Roman"/>
          <w:noProof/>
          <w:szCs w:val="24"/>
        </w:rPr>
        <w:t>(2), 125–133.</w:t>
      </w:r>
    </w:p>
    <w:p w14:paraId="43D1739A"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Viechtbauer, W. (2010). Conducting meta-analyses in R with the metafor package. </w:t>
      </w:r>
      <w:r w:rsidRPr="00DE061E">
        <w:rPr>
          <w:rFonts w:cs="Times New Roman"/>
          <w:i/>
          <w:iCs/>
          <w:noProof/>
          <w:szCs w:val="24"/>
        </w:rPr>
        <w:t>Journal of Statistical Software</w:t>
      </w:r>
      <w:r w:rsidRPr="00DE061E">
        <w:rPr>
          <w:rFonts w:cs="Times New Roman"/>
          <w:noProof/>
          <w:szCs w:val="24"/>
        </w:rPr>
        <w:t xml:space="preserve">, </w:t>
      </w:r>
      <w:r w:rsidRPr="00DE061E">
        <w:rPr>
          <w:rFonts w:cs="Times New Roman"/>
          <w:i/>
          <w:iCs/>
          <w:noProof/>
          <w:szCs w:val="24"/>
        </w:rPr>
        <w:t>36</w:t>
      </w:r>
      <w:r w:rsidRPr="00DE061E">
        <w:rPr>
          <w:rFonts w:cs="Times New Roman"/>
          <w:noProof/>
          <w:szCs w:val="24"/>
        </w:rPr>
        <w:t>(3), 1–48. https://doi.org/10.18637/jss.v036.i03</w:t>
      </w:r>
    </w:p>
    <w:p w14:paraId="554CAB58"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Viechtbauer, W. (2022). </w:t>
      </w:r>
      <w:r w:rsidRPr="00DE061E">
        <w:rPr>
          <w:rFonts w:cs="Times New Roman"/>
          <w:i/>
          <w:iCs/>
          <w:noProof/>
          <w:szCs w:val="24"/>
        </w:rPr>
        <w:t>Miller (1978)</w:t>
      </w:r>
      <w:r w:rsidRPr="00DE061E">
        <w:rPr>
          <w:rFonts w:cs="Times New Roman"/>
          <w:noProof/>
          <w:szCs w:val="24"/>
        </w:rPr>
        <w:t>. https://www.metafor-project.org/doku.php/analyses:miller1978?s[]=proportion</w:t>
      </w:r>
    </w:p>
    <w:p w14:paraId="795624FC"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DE061E">
        <w:rPr>
          <w:rFonts w:cs="Times New Roman"/>
          <w:i/>
          <w:iCs/>
          <w:noProof/>
          <w:szCs w:val="24"/>
        </w:rPr>
        <w:t>BMC Medical Research Methodology</w:t>
      </w:r>
      <w:r w:rsidRPr="00DE061E">
        <w:rPr>
          <w:rFonts w:cs="Times New Roman"/>
          <w:noProof/>
          <w:szCs w:val="24"/>
        </w:rPr>
        <w:t xml:space="preserve">, </w:t>
      </w:r>
      <w:r w:rsidRPr="00DE061E">
        <w:rPr>
          <w:rFonts w:cs="Times New Roman"/>
          <w:i/>
          <w:iCs/>
          <w:noProof/>
          <w:szCs w:val="24"/>
        </w:rPr>
        <w:t>19</w:t>
      </w:r>
      <w:r w:rsidRPr="00DE061E">
        <w:rPr>
          <w:rFonts w:cs="Times New Roman"/>
          <w:noProof/>
          <w:szCs w:val="24"/>
        </w:rPr>
        <w:t>(1), 132. https://doi.org/10.1186/s12874-019-0782-0</w:t>
      </w:r>
    </w:p>
    <w:p w14:paraId="78D5C577"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szCs w:val="24"/>
        </w:rPr>
      </w:pPr>
      <w:r w:rsidRPr="00DE061E">
        <w:rPr>
          <w:rFonts w:cs="Times New Roman"/>
          <w:noProof/>
          <w:szCs w:val="24"/>
        </w:rPr>
        <w:t xml:space="preserve">Wang, Z., Nayfeh, T., Tetzlaff, J., O’Blenis, P., &amp; Murad, M. H. (2020). Error rates of human reviewers during abstract screening in systematic reviews. </w:t>
      </w:r>
      <w:r w:rsidRPr="00DE061E">
        <w:rPr>
          <w:rFonts w:cs="Times New Roman"/>
          <w:i/>
          <w:iCs/>
          <w:noProof/>
          <w:szCs w:val="24"/>
        </w:rPr>
        <w:t>PloS One</w:t>
      </w:r>
      <w:r w:rsidRPr="00DE061E">
        <w:rPr>
          <w:rFonts w:cs="Times New Roman"/>
          <w:noProof/>
          <w:szCs w:val="24"/>
        </w:rPr>
        <w:t xml:space="preserve">, </w:t>
      </w:r>
      <w:r w:rsidRPr="00DE061E">
        <w:rPr>
          <w:rFonts w:cs="Times New Roman"/>
          <w:i/>
          <w:iCs/>
          <w:noProof/>
          <w:szCs w:val="24"/>
        </w:rPr>
        <w:t>15</w:t>
      </w:r>
      <w:r w:rsidRPr="00DE061E">
        <w:rPr>
          <w:rFonts w:cs="Times New Roman"/>
          <w:noProof/>
          <w:szCs w:val="24"/>
        </w:rPr>
        <w:t>(1), e0227742.</w:t>
      </w:r>
    </w:p>
    <w:p w14:paraId="3C05520E" w14:textId="77777777" w:rsidR="00DE061E" w:rsidRPr="00DE061E" w:rsidRDefault="00DE061E" w:rsidP="00DE061E">
      <w:pPr>
        <w:widowControl w:val="0"/>
        <w:autoSpaceDE w:val="0"/>
        <w:autoSpaceDN w:val="0"/>
        <w:adjustRightInd w:val="0"/>
        <w:spacing w:after="0" w:line="360" w:lineRule="auto"/>
        <w:ind w:left="480" w:hanging="480"/>
        <w:rPr>
          <w:rFonts w:cs="Times New Roman"/>
          <w:noProof/>
        </w:rPr>
      </w:pPr>
      <w:r w:rsidRPr="00DE061E">
        <w:rPr>
          <w:rFonts w:cs="Times New Roman"/>
          <w:noProof/>
          <w:szCs w:val="24"/>
        </w:rPr>
        <w:t xml:space="preserve">Westgate, M. J. (2019). revtools: An R package to support article screening for evidence synthesis. </w:t>
      </w:r>
      <w:r w:rsidRPr="00DE061E">
        <w:rPr>
          <w:rFonts w:cs="Times New Roman"/>
          <w:i/>
          <w:iCs/>
          <w:noProof/>
          <w:szCs w:val="24"/>
        </w:rPr>
        <w:t>Research Synthesis Methods</w:t>
      </w:r>
      <w:r w:rsidRPr="00DE061E">
        <w:rPr>
          <w:rFonts w:cs="Times New Roman"/>
          <w:noProof/>
          <w:szCs w:val="24"/>
        </w:rPr>
        <w:t xml:space="preserve">, </w:t>
      </w:r>
      <w:r w:rsidRPr="00DE061E">
        <w:rPr>
          <w:rFonts w:cs="Times New Roman"/>
          <w:i/>
          <w:iCs/>
          <w:noProof/>
          <w:szCs w:val="24"/>
        </w:rPr>
        <w:t>10</w:t>
      </w:r>
      <w:r w:rsidRPr="00DE061E">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kel Helding Vembye" w:date="2024-06-14T08:25:00Z" w:initials="MHV">
    <w:p w14:paraId="3E86937B" w14:textId="583BD988" w:rsidR="00312F00" w:rsidRPr="00BD4892" w:rsidRDefault="00312F00">
      <w:pPr>
        <w:pStyle w:val="CommentText"/>
        <w:rPr>
          <w:lang w:val="en-US"/>
        </w:rPr>
      </w:pPr>
      <w:r>
        <w:rPr>
          <w:rStyle w:val="CommentReference"/>
        </w:rPr>
        <w:annotationRef/>
      </w:r>
      <w:r w:rsidRPr="00BD4892">
        <w:rPr>
          <w:lang w:val="en-US"/>
        </w:rPr>
        <w:t>Consider if this should be a separate section 4</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86937B"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86937B" w16cid:durableId="2A167CF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FAEAA" w14:textId="77777777" w:rsidR="00CD0841" w:rsidRDefault="00CD0841" w:rsidP="00E22B11">
      <w:pPr>
        <w:spacing w:after="0" w:line="240" w:lineRule="auto"/>
      </w:pPr>
      <w:r>
        <w:separator/>
      </w:r>
    </w:p>
  </w:endnote>
  <w:endnote w:type="continuationSeparator" w:id="0">
    <w:p w14:paraId="17E00D2A" w14:textId="77777777" w:rsidR="00CD0841" w:rsidRDefault="00CD0841"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4FAAB" w14:textId="77777777" w:rsidR="00CD0841" w:rsidRDefault="00CD0841" w:rsidP="00E22B11">
      <w:pPr>
        <w:spacing w:after="0" w:line="240" w:lineRule="auto"/>
      </w:pPr>
      <w:r>
        <w:separator/>
      </w:r>
    </w:p>
  </w:footnote>
  <w:footnote w:type="continuationSeparator" w:id="0">
    <w:p w14:paraId="5D7D3DD1" w14:textId="77777777" w:rsidR="00CD0841" w:rsidRDefault="00CD0841" w:rsidP="00E22B11">
      <w:pPr>
        <w:spacing w:after="0" w:line="240" w:lineRule="auto"/>
      </w:pPr>
      <w:r>
        <w:continuationSeparator/>
      </w:r>
    </w:p>
  </w:footnote>
  <w:footnote w:id="1">
    <w:p w14:paraId="5E576E28" w14:textId="4B360815"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00DE061E"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sidR="00DE061E">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00DE061E" w:rsidRPr="00DE061E">
        <w:rPr>
          <w:noProof/>
          <w:lang w:val="en-US"/>
        </w:rPr>
        <w:t>(see e.g., Bondebjerg, Filges, et al., 2023)</w:t>
      </w:r>
      <w:r>
        <w:rPr>
          <w:lang w:val="en-US"/>
        </w:rPr>
        <w:fldChar w:fldCharType="end"/>
      </w:r>
      <w:r>
        <w:rPr>
          <w:lang w:val="en-US"/>
        </w:rPr>
        <w:t>.</w:t>
      </w:r>
    </w:p>
  </w:footnote>
  <w:footnote w:id="2">
    <w:p w14:paraId="37E72701" w14:textId="545FB6A4"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00DE061E" w:rsidRPr="00DE061E">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312F00" w:rsidRPr="007332FC" w:rsidRDefault="00312F00">
      <w:pPr>
        <w:pStyle w:val="FootnoteText"/>
        <w:rPr>
          <w:lang w:val="en-US"/>
        </w:rPr>
      </w:pPr>
      <w:r w:rsidRPr="000D35BD">
        <w:rPr>
          <w:rStyle w:val="FootnoteReference"/>
        </w:rPr>
        <w:footnoteRef/>
      </w:r>
      <w:r w:rsidRPr="007332FC">
        <w:rPr>
          <w:lang w:val="en-US"/>
        </w:rPr>
        <w:t xml:space="preserve"> We do not consider the level 4 of automation to be the ideal case since we consider human-in-the-loop operation to be state-of-the-art at the time of writing. </w:t>
      </w:r>
    </w:p>
  </w:footnote>
  <w:footnote w:id="4">
    <w:p w14:paraId="59739032" w14:textId="49F8E185"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sidR="00DE061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00DE061E" w:rsidRPr="00DE061E">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7777777"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4FAC9NbsEtAAAA"/>
  </w:docVars>
  <w:rsids>
    <w:rsidRoot w:val="00A23F06"/>
    <w:rsid w:val="00002939"/>
    <w:rsid w:val="00004D10"/>
    <w:rsid w:val="00005B30"/>
    <w:rsid w:val="00006375"/>
    <w:rsid w:val="00010397"/>
    <w:rsid w:val="00011FF4"/>
    <w:rsid w:val="00014A6B"/>
    <w:rsid w:val="00014F4A"/>
    <w:rsid w:val="00015556"/>
    <w:rsid w:val="00023F63"/>
    <w:rsid w:val="00024398"/>
    <w:rsid w:val="00031F26"/>
    <w:rsid w:val="00032250"/>
    <w:rsid w:val="00032EE0"/>
    <w:rsid w:val="0003361C"/>
    <w:rsid w:val="000345DE"/>
    <w:rsid w:val="000378D0"/>
    <w:rsid w:val="000414F1"/>
    <w:rsid w:val="00041B75"/>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719B"/>
    <w:rsid w:val="00077B9E"/>
    <w:rsid w:val="0008000E"/>
    <w:rsid w:val="00081125"/>
    <w:rsid w:val="0008295A"/>
    <w:rsid w:val="000837FF"/>
    <w:rsid w:val="00084E58"/>
    <w:rsid w:val="000851F2"/>
    <w:rsid w:val="0009006C"/>
    <w:rsid w:val="0009296A"/>
    <w:rsid w:val="000A07FF"/>
    <w:rsid w:val="000A08CC"/>
    <w:rsid w:val="000A26CA"/>
    <w:rsid w:val="000A5F4F"/>
    <w:rsid w:val="000B0E90"/>
    <w:rsid w:val="000B1D78"/>
    <w:rsid w:val="000B216F"/>
    <w:rsid w:val="000B4CB0"/>
    <w:rsid w:val="000B782A"/>
    <w:rsid w:val="000C1DB9"/>
    <w:rsid w:val="000C5E38"/>
    <w:rsid w:val="000D0B45"/>
    <w:rsid w:val="000D2E6D"/>
    <w:rsid w:val="000D2FC2"/>
    <w:rsid w:val="000D35BD"/>
    <w:rsid w:val="000D620B"/>
    <w:rsid w:val="000E24E8"/>
    <w:rsid w:val="000E2607"/>
    <w:rsid w:val="000E2DE6"/>
    <w:rsid w:val="000F40C7"/>
    <w:rsid w:val="000F4A3E"/>
    <w:rsid w:val="000F506E"/>
    <w:rsid w:val="000F56A9"/>
    <w:rsid w:val="000F7404"/>
    <w:rsid w:val="00106BC6"/>
    <w:rsid w:val="00107C28"/>
    <w:rsid w:val="00112AC7"/>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4B95"/>
    <w:rsid w:val="00155358"/>
    <w:rsid w:val="0015743E"/>
    <w:rsid w:val="00157855"/>
    <w:rsid w:val="001605B2"/>
    <w:rsid w:val="001608CA"/>
    <w:rsid w:val="00165D32"/>
    <w:rsid w:val="00167EBB"/>
    <w:rsid w:val="00170F75"/>
    <w:rsid w:val="0017101A"/>
    <w:rsid w:val="00173371"/>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4C3D"/>
    <w:rsid w:val="0023520D"/>
    <w:rsid w:val="0023752B"/>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E02C6"/>
    <w:rsid w:val="002E322D"/>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309CD"/>
    <w:rsid w:val="00430E43"/>
    <w:rsid w:val="004315B1"/>
    <w:rsid w:val="00433818"/>
    <w:rsid w:val="00441345"/>
    <w:rsid w:val="004457FD"/>
    <w:rsid w:val="00447BAE"/>
    <w:rsid w:val="0045186C"/>
    <w:rsid w:val="0045594F"/>
    <w:rsid w:val="00456430"/>
    <w:rsid w:val="00462549"/>
    <w:rsid w:val="004643D6"/>
    <w:rsid w:val="00464626"/>
    <w:rsid w:val="004650C4"/>
    <w:rsid w:val="00466B16"/>
    <w:rsid w:val="00467E10"/>
    <w:rsid w:val="0047024E"/>
    <w:rsid w:val="0047364A"/>
    <w:rsid w:val="00474195"/>
    <w:rsid w:val="00476BB4"/>
    <w:rsid w:val="004808CD"/>
    <w:rsid w:val="00487B81"/>
    <w:rsid w:val="00495581"/>
    <w:rsid w:val="00495C59"/>
    <w:rsid w:val="00496CC9"/>
    <w:rsid w:val="00497AD0"/>
    <w:rsid w:val="00497B8E"/>
    <w:rsid w:val="004A13C6"/>
    <w:rsid w:val="004A6777"/>
    <w:rsid w:val="004B04C7"/>
    <w:rsid w:val="004B23A9"/>
    <w:rsid w:val="004B3496"/>
    <w:rsid w:val="004B4ED8"/>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02"/>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EC5"/>
    <w:rsid w:val="00625587"/>
    <w:rsid w:val="00632ABB"/>
    <w:rsid w:val="00633A41"/>
    <w:rsid w:val="006417A3"/>
    <w:rsid w:val="00642E49"/>
    <w:rsid w:val="006433DF"/>
    <w:rsid w:val="00646458"/>
    <w:rsid w:val="00661A63"/>
    <w:rsid w:val="00663E77"/>
    <w:rsid w:val="006650B1"/>
    <w:rsid w:val="00667CB7"/>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39D0"/>
    <w:rsid w:val="006E4FF1"/>
    <w:rsid w:val="006E5490"/>
    <w:rsid w:val="006E5DFF"/>
    <w:rsid w:val="006E76C1"/>
    <w:rsid w:val="006E7DA1"/>
    <w:rsid w:val="006F58FC"/>
    <w:rsid w:val="006F63D8"/>
    <w:rsid w:val="007007BD"/>
    <w:rsid w:val="0070110A"/>
    <w:rsid w:val="00704CC4"/>
    <w:rsid w:val="007051A9"/>
    <w:rsid w:val="0070555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14D"/>
    <w:rsid w:val="00794565"/>
    <w:rsid w:val="007948B5"/>
    <w:rsid w:val="007A3D20"/>
    <w:rsid w:val="007A4482"/>
    <w:rsid w:val="007A4FC4"/>
    <w:rsid w:val="007A5754"/>
    <w:rsid w:val="007B03A8"/>
    <w:rsid w:val="007B20AC"/>
    <w:rsid w:val="007B2F46"/>
    <w:rsid w:val="007B4CDF"/>
    <w:rsid w:val="007B4E3B"/>
    <w:rsid w:val="007B5F92"/>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CA6"/>
    <w:rsid w:val="0084703D"/>
    <w:rsid w:val="00847733"/>
    <w:rsid w:val="00855A5F"/>
    <w:rsid w:val="008560D4"/>
    <w:rsid w:val="00856BA9"/>
    <w:rsid w:val="00860934"/>
    <w:rsid w:val="00871275"/>
    <w:rsid w:val="00877639"/>
    <w:rsid w:val="00877882"/>
    <w:rsid w:val="00877DAB"/>
    <w:rsid w:val="008802B3"/>
    <w:rsid w:val="00880700"/>
    <w:rsid w:val="008809B3"/>
    <w:rsid w:val="00881112"/>
    <w:rsid w:val="008832F2"/>
    <w:rsid w:val="0088468C"/>
    <w:rsid w:val="008862B2"/>
    <w:rsid w:val="00890ED0"/>
    <w:rsid w:val="00891AD7"/>
    <w:rsid w:val="008930F5"/>
    <w:rsid w:val="0089339C"/>
    <w:rsid w:val="0089387E"/>
    <w:rsid w:val="00897CA2"/>
    <w:rsid w:val="00897F28"/>
    <w:rsid w:val="008A05F5"/>
    <w:rsid w:val="008A1D8C"/>
    <w:rsid w:val="008A385E"/>
    <w:rsid w:val="008A477D"/>
    <w:rsid w:val="008A5716"/>
    <w:rsid w:val="008B2076"/>
    <w:rsid w:val="008B330E"/>
    <w:rsid w:val="008B43CA"/>
    <w:rsid w:val="008B5C84"/>
    <w:rsid w:val="008B6AF6"/>
    <w:rsid w:val="008C2A18"/>
    <w:rsid w:val="008C3F74"/>
    <w:rsid w:val="008C5665"/>
    <w:rsid w:val="008C75EF"/>
    <w:rsid w:val="008C77AB"/>
    <w:rsid w:val="008C7FAA"/>
    <w:rsid w:val="008D1972"/>
    <w:rsid w:val="008D1FE3"/>
    <w:rsid w:val="008D2DD9"/>
    <w:rsid w:val="008D3079"/>
    <w:rsid w:val="008D3308"/>
    <w:rsid w:val="008D7AB0"/>
    <w:rsid w:val="008E12A3"/>
    <w:rsid w:val="008E1A47"/>
    <w:rsid w:val="008E1D11"/>
    <w:rsid w:val="008E3D8D"/>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3ACF"/>
    <w:rsid w:val="009251F4"/>
    <w:rsid w:val="00927057"/>
    <w:rsid w:val="00927905"/>
    <w:rsid w:val="009304CC"/>
    <w:rsid w:val="0093078D"/>
    <w:rsid w:val="00932CB0"/>
    <w:rsid w:val="0093470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76426"/>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50203"/>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8499E"/>
    <w:rsid w:val="00B85654"/>
    <w:rsid w:val="00B85B57"/>
    <w:rsid w:val="00B92AF4"/>
    <w:rsid w:val="00B92FF8"/>
    <w:rsid w:val="00B947BB"/>
    <w:rsid w:val="00BA052E"/>
    <w:rsid w:val="00BA1204"/>
    <w:rsid w:val="00BA313E"/>
    <w:rsid w:val="00BA4A0C"/>
    <w:rsid w:val="00BA7D98"/>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0841"/>
    <w:rsid w:val="00CD105E"/>
    <w:rsid w:val="00CD1813"/>
    <w:rsid w:val="00CD5241"/>
    <w:rsid w:val="00CD576D"/>
    <w:rsid w:val="00CE10BC"/>
    <w:rsid w:val="00CE468E"/>
    <w:rsid w:val="00CE5E3E"/>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67F9"/>
    <w:rsid w:val="00D06CB7"/>
    <w:rsid w:val="00D10144"/>
    <w:rsid w:val="00D20C2F"/>
    <w:rsid w:val="00D22172"/>
    <w:rsid w:val="00D22A9C"/>
    <w:rsid w:val="00D242D4"/>
    <w:rsid w:val="00D247A4"/>
    <w:rsid w:val="00D248E6"/>
    <w:rsid w:val="00D318C9"/>
    <w:rsid w:val="00D33A0B"/>
    <w:rsid w:val="00D342AD"/>
    <w:rsid w:val="00D34425"/>
    <w:rsid w:val="00D42EB8"/>
    <w:rsid w:val="00D43317"/>
    <w:rsid w:val="00D45966"/>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3081"/>
    <w:rsid w:val="00E50CAC"/>
    <w:rsid w:val="00E52864"/>
    <w:rsid w:val="00E55DF7"/>
    <w:rsid w:val="00E56CEB"/>
    <w:rsid w:val="00E56E60"/>
    <w:rsid w:val="00E726E5"/>
    <w:rsid w:val="00E72B05"/>
    <w:rsid w:val="00E74715"/>
    <w:rsid w:val="00E765A2"/>
    <w:rsid w:val="00E7671B"/>
    <w:rsid w:val="00E804D0"/>
    <w:rsid w:val="00E82BE5"/>
    <w:rsid w:val="00E83D67"/>
    <w:rsid w:val="00E83F54"/>
    <w:rsid w:val="00E91434"/>
    <w:rsid w:val="00E96383"/>
    <w:rsid w:val="00E96C39"/>
    <w:rsid w:val="00E96DD2"/>
    <w:rsid w:val="00E97DAB"/>
    <w:rsid w:val="00E97DAC"/>
    <w:rsid w:val="00EA13BE"/>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E2"/>
    <w:rsid w:val="00FD6AC7"/>
    <w:rsid w:val="00FE2947"/>
    <w:rsid w:val="00FE4EA1"/>
    <w:rsid w:val="00FE5D2F"/>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7F416-6F99-48D7-9DC5-FAB707E7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11377</TotalTime>
  <Pages>38</Pages>
  <Words>59012</Words>
  <Characters>336374</Characters>
  <Application>Microsoft Office Word</Application>
  <DocSecurity>0</DocSecurity>
  <Lines>2803</Lines>
  <Paragraphs>789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394597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1281</cp:revision>
  <cp:lastPrinted>2024-06-25T12:12:00Z</cp:lastPrinted>
  <dcterms:created xsi:type="dcterms:W3CDTF">2023-11-14T09:26:00Z</dcterms:created>
  <dcterms:modified xsi:type="dcterms:W3CDTF">2024-07-03T15:04:00Z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