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7A10BCD0"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(and not) </w:t>
      </w:r>
      <w:r w:rsidR="00950F4A">
        <w:t>reviewers can</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394BA7">
        <w:t xml:space="preserve">state-of-the-art </w:t>
      </w:r>
      <w:r w:rsidR="00F10FA3">
        <w:t xml:space="preserve">systematic </w:t>
      </w:r>
      <w:r w:rsidR="00DE62DD">
        <w:t>reviews</w:t>
      </w:r>
      <w:r w:rsidR="00AC1C19">
        <w:t xml:space="preserve">. </w:t>
      </w:r>
      <w:r w:rsidR="00462549">
        <w:t>Finally, t</w:t>
      </w:r>
      <w:r w:rsidR="00DE62DD">
        <w:t xml:space="preserve">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62A872D" w14:textId="72ED876E"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112AC7">
        <w:t xml:space="preserve"> qyality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4D02BC5A"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3F27D8">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5452E1" w:rsidRPr="005452E1">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lastRenderedPageBreak/>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0BD4509"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2B01"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2B01"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2B01"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780E22FD"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on 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lastRenderedPageBreak/>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w:t>
      </w:r>
      <w:r w:rsidR="001B592D">
        <w:rPr>
          <w:lang w:val="en-US"/>
        </w:rPr>
        <w:lastRenderedPageBreak/>
        <w:t>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07BB857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lastRenderedPageBreak/>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1543E9E9"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BD4892">
        <w:t xml:space="preserve">Gargari et al. </w:t>
      </w:r>
      <w:r>
        <w:rPr>
          <w:lang w:val="en-US"/>
        </w:rPr>
        <w:fldChar w:fldCharType="begin" w:fldLock="1"/>
      </w:r>
      <w:r w:rsidR="005374FF" w:rsidRPr="00BD4892">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BD4892">
        <w:rPr>
          <w:noProof/>
        </w:rPr>
        <w:t>(2024)</w:t>
      </w:r>
      <w:r>
        <w:rPr>
          <w:lang w:val="en-US"/>
        </w:rPr>
        <w:fldChar w:fldCharType="end"/>
      </w:r>
      <w:r w:rsidRPr="00BD4892">
        <w:t xml:space="preserve"> </w:t>
      </w:r>
      <w:r w:rsidR="00DC3EC6" w:rsidRPr="00BD4892">
        <w:t xml:space="preserve">applied the </w:t>
      </w:r>
      <w:r w:rsidR="0007719B" w:rsidRPr="00BD4892">
        <w:t>gpt</w:t>
      </w:r>
      <w:r w:rsidR="00DC3EC6" w:rsidRPr="00BD4892">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18A1EABA"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7F6F1414"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workhorse</w:t>
      </w:r>
      <w:r w:rsidR="00515E21">
        <w:rPr>
          <w:lang w:val="en-US"/>
        </w:rPr>
        <w:t>,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w:t>
      </w:r>
      <w:r>
        <w:rPr>
          <w:lang w:val="en-US"/>
        </w:rPr>
        <w:lastRenderedPageBreak/>
        <w:t xml:space="preserve">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736600E"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are </w:t>
      </w:r>
      <w:r w:rsidR="00312F00">
        <w:rPr>
          <w:lang w:val="en-US"/>
        </w:rPr>
        <w:t>be decided</w:t>
      </w:r>
      <w:r>
        <w:rPr>
          <w:lang w:val="en-US"/>
        </w:rPr>
        <w:t xml:space="preserve"> if </w:t>
      </w:r>
      <w:r w:rsidR="004202F4">
        <w:rPr>
          <w:lang w:val="en-US"/>
        </w:rPr>
        <w:t xml:space="preserve">a study records is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2B01"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166FA8B7"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BD4892"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3B0B627C"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w:t>
      </w:r>
      <w:r w:rsidR="00EE7F05">
        <w:rPr>
          <w:rFonts w:eastAsiaTheme="minorEastAsia"/>
          <w:lang w:val="en-US"/>
        </w:rPr>
        <w:lastRenderedPageBreak/>
        <w:t>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AB4B3D0"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CE836CF"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4C5C69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w:t>
      </w:r>
      <w:r>
        <w:rPr>
          <w:lang w:val="en-US"/>
        </w:rPr>
        <w:lastRenderedPageBreak/>
        <w:t xml:space="preserve">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16B6A29C"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 xml:space="preserve">When analyzing all of the above-presented data, we removed all training data to avoid </w:t>
      </w:r>
      <w:r w:rsidR="00ED63F5">
        <w:rPr>
          <w:lang w:val="en-US"/>
        </w:rPr>
        <w:lastRenderedPageBreak/>
        <w:t>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2107F6"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2B01">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BD4892">
              <w:rPr>
                <w:rFonts w:cs="Times New Roman"/>
                <w:sz w:val="22"/>
                <w:lang w:val="en-US"/>
              </w:rPr>
              <w:t xml:space="preserve">Dalgaard, Bondebjerg, Viinholt et al. </w:t>
            </w:r>
            <w:r w:rsidRPr="0040019C">
              <w:rPr>
                <w:rFonts w:cs="Times New Roman"/>
                <w:sz w:val="22"/>
                <w:lang w:val="en-US"/>
              </w:rPr>
              <w:fldChar w:fldCharType="begin" w:fldLock="1"/>
            </w:r>
            <w:r w:rsidRPr="00BD4892">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40019C">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BD4892">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2107F6"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lastRenderedPageBreak/>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7182CBC7"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67B2A3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w:t>
      </w:r>
      <w:r>
        <w:rPr>
          <w:rFonts w:eastAsiaTheme="minorEastAsia"/>
          <w:i/>
          <w:lang w:val="en-US"/>
        </w:rPr>
        <w:lastRenderedPageBreak/>
        <w:t xml:space="preserve">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w:t>
      </w:r>
      <w:r>
        <w:rPr>
          <w:lang w:val="en-US"/>
        </w:rPr>
        <w:lastRenderedPageBreak/>
        <w:t xml:space="preserve">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D62B01"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2B01"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7789079F"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C62E2" w:rsidRPr="00BD489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BD4892">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2D87B98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69789AAC"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52D2A1FC"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515E21">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D62B01"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D62B01"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D62B01"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D62B01"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D62B01"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2B01"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77777777"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2B01"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2B01"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2B01"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2B01"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2B01"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560EFE3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properly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67D0EA26"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 xml:space="preserve">and </w:t>
      </w:r>
      <w:r w:rsidR="008B6AF6">
        <w:rPr>
          <w:lang w:val="en-US"/>
        </w:rPr>
        <w:t xml:space="preserve">will develop. This also means 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31BFEDA5"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3F27D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2023)"},"properties":{"noteIndex":0},"schema":"https://github.com/citation-style-language/schema/raw/master/csl-citation.json"}</w:instrText>
      </w:r>
      <w:r w:rsidR="003F27D8">
        <w:rPr>
          <w:lang w:val="en-US"/>
        </w:rPr>
        <w:fldChar w:fldCharType="separate"/>
      </w:r>
      <w:r w:rsidR="003F27D8" w:rsidRPr="003F27D8">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1B413CA2" w:rsidR="003652BB" w:rsidRDefault="009304CC" w:rsidP="00DF1CA6">
      <w:pPr>
        <w:spacing w:after="0" w:line="360" w:lineRule="auto"/>
        <w:jc w:val="both"/>
        <w:rPr>
          <w:lang w:val="en-US"/>
        </w:rPr>
      </w:pPr>
      <w:r>
        <w:rPr>
          <w:lang w:val="en-US"/>
        </w:rPr>
        <w:tab/>
        <w:t xml:space="preserve">The screening approach that we suggest is limited by its prompt dependency. That is this screening approach is in theory rather sensitive to the prompt(s) made by the user. This can potentially complicate the leverage of the GPT API screening and make it time-consuming to build well-performing prompts. Reviewers must, therefore, always make </w:t>
      </w:r>
      <w:r>
        <w:rPr>
          <w:rStyle w:val="translation"/>
        </w:rPr>
        <w:t>thorough</w:t>
      </w:r>
      <w:r>
        <w:rPr>
          <w:rStyle w:val="translation"/>
        </w:rPr>
        <w:t xml:space="preserve"> consideration of whether the use of GPT API screening is resource-efficient in the given review case. Hereto, a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 recall bias in systematic reviews. </w:t>
      </w:r>
    </w:p>
    <w:p w14:paraId="41CBC6BC" w14:textId="201C9CE7" w:rsidR="00735DD3" w:rsidRPr="00032EE0" w:rsidRDefault="00735DD3" w:rsidP="00735DD3">
      <w:pPr>
        <w:spacing w:after="0" w:line="360" w:lineRule="auto"/>
        <w:jc w:val="both"/>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Pr>
          <w:rStyle w:val="translation"/>
        </w:rPr>
        <w:t>favorable</w:t>
      </w:r>
      <w:r>
        <w:rPr>
          <w:lang w:val="en-US"/>
        </w:rPr>
        <w:t xml:space="preserve">. For example, embedded in a shiny app or by incorporating this approach directly in screening tools similar to what has been done with the data extraction GPT API tool in the EPPI-reviewer </w:t>
      </w:r>
      <w:r>
        <w:fldChar w:fldCharType="begin" w:fldLock="1"/>
      </w:r>
      <w: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Pr="00515E21">
        <w:rPr>
          <w:noProof/>
        </w:rPr>
        <w:t>(EPPI-Centre, 2024)</w:t>
      </w:r>
      <w:r>
        <w:fldChar w:fldCharType="end"/>
      </w:r>
      <w:r>
        <w:t xml:space="preserve">. </w:t>
      </w:r>
      <w:r>
        <w:t xml:space="preserve">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w:t>
      </w:r>
      <w:r>
        <w:lastRenderedPageBreak/>
        <w:t>for title and abstract screening before more appropriate performance of this approach has been validated.</w:t>
      </w:r>
      <w:bookmarkStart w:id="2" w:name="_GoBack"/>
      <w:bookmarkEnd w:id="2"/>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348D4AE4" w:rsidR="00C03E98" w:rsidRPr="00296111"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515E21">
      <w:pPr>
        <w:pStyle w:val="ListParagraph"/>
        <w:numPr>
          <w:ilvl w:val="0"/>
          <w:numId w:val="1"/>
        </w:numPr>
        <w:spacing w:after="0" w:line="360" w:lineRule="auto"/>
        <w:jc w:val="both"/>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515E21">
      <w:pPr>
        <w:pStyle w:val="ListParagraph"/>
        <w:numPr>
          <w:ilvl w:val="0"/>
          <w:numId w:val="1"/>
        </w:numPr>
        <w:spacing w:after="0" w:line="360" w:lineRule="auto"/>
        <w:jc w:val="both"/>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02CD56E2"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lastRenderedPageBreak/>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FD3963A" w:rsidR="00C05D15" w:rsidRDefault="00C05D15" w:rsidP="00AF31B7">
      <w:pPr>
        <w:pStyle w:val="ListParagraph"/>
        <w:numPr>
          <w:ilvl w:val="0"/>
          <w:numId w:val="1"/>
        </w:numPr>
        <w:spacing w:after="0" w:line="360" w:lineRule="auto"/>
        <w:rPr>
          <w:lang w:val="en-US"/>
        </w:rPr>
      </w:pPr>
      <w:r>
        <w:rPr>
          <w:lang w:val="en-US"/>
        </w:rPr>
        <w:t>The GPT API model seems generally to be over</w:t>
      </w:r>
      <w:r w:rsidR="00EF5857">
        <w:rPr>
          <w:lang w:val="en-US"/>
        </w:rPr>
        <w:t>-</w:t>
      </w:r>
      <w:r>
        <w:rPr>
          <w:lang w:val="en-US"/>
        </w:rPr>
        <w:t xml:space="preserve">inclusive than human but this just force the reviewers to double-check close-to-relevant studies. </w:t>
      </w:r>
    </w:p>
    <w:p w14:paraId="073C8EE6" w14:textId="50E83888" w:rsidR="0018428A" w:rsidRDefault="0018428A" w:rsidP="0018428A">
      <w:pPr>
        <w:pStyle w:val="ListParagraph"/>
        <w:numPr>
          <w:ilvl w:val="0"/>
          <w:numId w:val="1"/>
        </w:numPr>
        <w:spacing w:after="0" w:line="360" w:lineRule="auto"/>
        <w:rPr>
          <w:lang w:val="en-US"/>
        </w:rPr>
      </w:pPr>
      <w:r>
        <w:rPr>
          <w:lang w:val="en-US"/>
        </w:rPr>
        <w:t>Environmental impact (embrace the critiques from van Lissa). Combine with traditional machine learning and text-mining tools to reduce the number of records needed to be screened by the GPT API model</w:t>
      </w:r>
    </w:p>
    <w:p w14:paraId="77CD9185" w14:textId="01B54B39" w:rsidR="00EF5857" w:rsidRDefault="00EF5857" w:rsidP="0018428A">
      <w:pPr>
        <w:pStyle w:val="ListParagraph"/>
        <w:numPr>
          <w:ilvl w:val="0"/>
          <w:numId w:val="1"/>
        </w:numPr>
        <w:spacing w:after="0" w:line="360" w:lineRule="auto"/>
        <w:rPr>
          <w:lang w:val="en-US"/>
        </w:rPr>
      </w:pPr>
      <w:r>
        <w:rPr>
          <w:lang w:val="en-US"/>
        </w:rPr>
        <w:t xml:space="preserve">Use to screen references around certain stopping rule or all of the references left after given stopping rule.  </w:t>
      </w:r>
    </w:p>
    <w:p w14:paraId="2313734B" w14:textId="431FF42A" w:rsidR="00AE4C3A" w:rsidRDefault="00AE4C3A" w:rsidP="00AE4C3A">
      <w:pPr>
        <w:pStyle w:val="NormalWeb"/>
        <w:numPr>
          <w:ilvl w:val="0"/>
          <w:numId w:val="1"/>
        </w:numPr>
        <w:spacing w:line="360" w:lineRule="auto"/>
        <w:jc w:val="both"/>
      </w:pPr>
      <w:r>
        <w:t xml:space="preserve">Important to use other types of searches such as back and forward citation tracking etc (add more) to re-enter potentially missed studies. </w:t>
      </w:r>
    </w:p>
    <w:p w14:paraId="3BE6B6F7" w14:textId="0AC7CBBA" w:rsidR="00267BFF" w:rsidRPr="00AE4C3A" w:rsidRDefault="00267BFF" w:rsidP="00AE4C3A">
      <w:pPr>
        <w:pStyle w:val="NormalWeb"/>
        <w:numPr>
          <w:ilvl w:val="0"/>
          <w:numId w:val="1"/>
        </w:numPr>
        <w:spacing w:line="360" w:lineRule="auto"/>
        <w:jc w:val="both"/>
      </w:pPr>
      <w:r>
        <w:t xml:space="preserve">Traditional classifier models and GPT models should not be seen as competing tools but should used together to overcome each other's disadvantages.  </w:t>
      </w:r>
    </w:p>
    <w:p w14:paraId="722EC4B0" w14:textId="77777777" w:rsidR="0018428A" w:rsidRDefault="0018428A" w:rsidP="00C513C0">
      <w:pPr>
        <w:pStyle w:val="ListParagraph"/>
        <w:spacing w:after="0" w:line="360" w:lineRule="auto"/>
        <w:rPr>
          <w:lang w:val="en-US"/>
        </w:rPr>
      </w:pPr>
    </w:p>
    <w:p w14:paraId="6F6F3E9A" w14:textId="77777777" w:rsidR="00D62B01" w:rsidRDefault="00D62B01" w:rsidP="006F63D8">
      <w:pPr>
        <w:spacing w:after="0" w:line="360" w:lineRule="auto"/>
        <w:rPr>
          <w:lang w:val="en-US"/>
        </w:rPr>
      </w:pPr>
      <w:r>
        <w:rPr>
          <w:lang w:val="en-US"/>
        </w:rPr>
        <w:t xml:space="preserve">Critiques: </w:t>
      </w:r>
    </w:p>
    <w:p w14:paraId="6AFE8FDF" w14:textId="403C96BA" w:rsidR="00521E21" w:rsidRDefault="00D62B01" w:rsidP="006F63D8">
      <w:pPr>
        <w:spacing w:after="0" w:line="360" w:lineRule="auto"/>
        <w:rPr>
          <w:lang w:val="en-US"/>
        </w:rPr>
      </w:pPr>
      <w:r>
        <w:rPr>
          <w:lang w:val="en-US"/>
        </w:rPr>
        <w:t xml:space="preserve">Ghost workers = gaslighting </w:t>
      </w:r>
    </w:p>
    <w:p w14:paraId="6EAEBAAE" w14:textId="38D19827" w:rsidR="00D62B01" w:rsidRDefault="00D62B01" w:rsidP="00D62B01">
      <w:pPr>
        <w:spacing w:after="0" w:line="360" w:lineRule="auto"/>
        <w:jc w:val="both"/>
        <w:rPr>
          <w:lang w:val="en-US"/>
        </w:rPr>
      </w:pPr>
      <w:r w:rsidRPr="0021495E">
        <w:rPr>
          <w:i/>
          <w:lang w:val="en-US"/>
        </w:rPr>
        <w:t>Use of available models that can do the same thing</w:t>
      </w:r>
      <w:r>
        <w:rPr>
          <w:lang w:val="en-US"/>
        </w:rPr>
        <w:t>: Where are the</w:t>
      </w:r>
      <w:r w:rsidR="0021495E">
        <w:rPr>
          <w:lang w:val="en-US"/>
        </w:rPr>
        <w:t>y?</w:t>
      </w:r>
    </w:p>
    <w:p w14:paraId="536E80D1" w14:textId="034B535D" w:rsidR="00D62B01" w:rsidRDefault="00D62B01" w:rsidP="00D62B01">
      <w:pPr>
        <w:spacing w:after="0" w:line="360" w:lineRule="auto"/>
        <w:jc w:val="both"/>
        <w:rPr>
          <w:lang w:val="en-US"/>
        </w:rPr>
      </w:pPr>
      <w:r w:rsidRPr="0021495E">
        <w:rPr>
          <w:i/>
          <w:lang w:val="en-US"/>
        </w:rPr>
        <w:t xml:space="preserve">We should not validate </w:t>
      </w:r>
      <w:r w:rsidR="00AE4C3A">
        <w:rPr>
          <w:i/>
          <w:lang w:val="en-US"/>
        </w:rPr>
        <w:t>c</w:t>
      </w:r>
      <w:r w:rsidRPr="0021495E">
        <w:rPr>
          <w:i/>
          <w:lang w:val="en-US"/>
        </w:rPr>
        <w:t>ommercial tools:</w:t>
      </w:r>
      <w:r>
        <w:rPr>
          <w:lang w:val="en-US"/>
        </w:rPr>
        <w:t xml:space="preserve"> Should we then remove most research in med</w:t>
      </w:r>
      <w:r w:rsidR="00AE4C3A">
        <w:rPr>
          <w:lang w:val="en-US"/>
        </w:rPr>
        <w:t>ic</w:t>
      </w:r>
      <w:r>
        <w:rPr>
          <w:lang w:val="en-US"/>
        </w:rPr>
        <w:t>ine? I agree that whenever downloadable models (or some kind of rep</w:t>
      </w:r>
      <w:r w:rsidR="00AE4C3A">
        <w:rPr>
          <w:lang w:val="en-US"/>
        </w:rPr>
        <w:t>roduci</w:t>
      </w:r>
      <w:r>
        <w:rPr>
          <w:lang w:val="en-US"/>
        </w:rPr>
        <w:t xml:space="preserve">ble model) is available we should we equivalent performance behaviors, we should tranfer to should model. We have tried to develop a general freamwork for how should screening col dbe setup in general, and it will be easy so remodeled our approach to work with other models as well. </w:t>
      </w:r>
    </w:p>
    <w:p w14:paraId="31EF0219" w14:textId="77777777" w:rsidR="00397DD6" w:rsidRDefault="00397DD6" w:rsidP="00D62B01">
      <w:pPr>
        <w:spacing w:after="0" w:line="360" w:lineRule="auto"/>
        <w:jc w:val="both"/>
        <w:rPr>
          <w:lang w:val="en-US"/>
        </w:rPr>
      </w:pPr>
    </w:p>
    <w:p w14:paraId="24461F6F" w14:textId="76518F2F" w:rsidR="0021495E" w:rsidRDefault="0021495E" w:rsidP="00D62B01">
      <w:pPr>
        <w:spacing w:after="0" w:line="360" w:lineRule="auto"/>
        <w:jc w:val="both"/>
        <w:rPr>
          <w:lang w:val="en-US"/>
        </w:rPr>
      </w:pPr>
      <w:r>
        <w:rPr>
          <w:lang w:val="en-US"/>
        </w:rPr>
        <w:t xml:space="preserve">The alternative would be not have extra guarding for overlooking relevant studies. </w:t>
      </w:r>
    </w:p>
    <w:p w14:paraId="61BEF889" w14:textId="77777777" w:rsidR="00397DD6" w:rsidRDefault="00397DD6" w:rsidP="00397DD6">
      <w:pPr>
        <w:spacing w:after="0" w:line="360" w:lineRule="auto"/>
        <w:rPr>
          <w:lang w:val="en-US"/>
        </w:rPr>
      </w:pPr>
    </w:p>
    <w:p w14:paraId="2B3EC020" w14:textId="2573ACF5" w:rsidR="00397DD6" w:rsidRPr="00397DD6" w:rsidRDefault="00397DD6" w:rsidP="00397DD6">
      <w:pPr>
        <w:spacing w:after="0" w:line="360" w:lineRule="auto"/>
        <w:rPr>
          <w:lang w:val="en-US"/>
        </w:rPr>
      </w:pPr>
      <w:r w:rsidRPr="00397DD6">
        <w:rPr>
          <w:lang w:val="en-US"/>
        </w:rPr>
        <w:lastRenderedPageBreak/>
        <w:t>Black box no ideal but insure that these things are not misused we should have standardized guideline for how to use LLMs in systematic review. They will be used whether we like it or not.</w:t>
      </w:r>
    </w:p>
    <w:p w14:paraId="3F7C7A7C" w14:textId="77777777" w:rsidR="00397DD6" w:rsidRDefault="00397DD6" w:rsidP="00397DD6">
      <w:pPr>
        <w:spacing w:after="0" w:line="360" w:lineRule="auto"/>
        <w:rPr>
          <w:lang w:val="en-US"/>
        </w:rPr>
      </w:pPr>
    </w:p>
    <w:p w14:paraId="215D634B" w14:textId="5BCF6C59" w:rsidR="00397DD6" w:rsidRPr="00397DD6" w:rsidRDefault="00397DD6" w:rsidP="00397DD6">
      <w:pPr>
        <w:spacing w:after="0" w:line="360" w:lineRule="auto"/>
        <w:rPr>
          <w:lang w:val="en-US"/>
        </w:rPr>
      </w:pPr>
      <w:r w:rsidRPr="00397DD6">
        <w:rPr>
          <w:lang w:val="en-US"/>
        </w:rPr>
        <w:t xml:space="preserve">They can potentially save a lot tedious work for human that can be spent or improving the quality of a systematic reviews. For example on assessing fabrication issue in the review. </w:t>
      </w:r>
    </w:p>
    <w:p w14:paraId="3AB74830" w14:textId="21D2B38C" w:rsidR="00397DD6" w:rsidRPr="00D62B01" w:rsidRDefault="00397DD6" w:rsidP="00D62B01">
      <w:pPr>
        <w:spacing w:after="0" w:line="360" w:lineRule="auto"/>
        <w:jc w:val="both"/>
        <w:rPr>
          <w:lang w:val="en-US"/>
        </w:rPr>
      </w:pPr>
    </w:p>
    <w:p w14:paraId="58FD2739" w14:textId="77777777" w:rsidR="00D62B01" w:rsidRPr="0011702D" w:rsidRDefault="00D62B0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2D91E66B" w14:textId="2FC317B7" w:rsidR="003F27D8" w:rsidRPr="003F27D8" w:rsidRDefault="00A23F06" w:rsidP="003F27D8">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3F27D8" w:rsidRPr="003F27D8">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3F27D8" w:rsidRPr="003F27D8">
        <w:rPr>
          <w:rFonts w:cs="Times New Roman"/>
          <w:i/>
          <w:iCs/>
          <w:noProof/>
          <w:szCs w:val="24"/>
        </w:rPr>
        <w:t>Systems</w:t>
      </w:r>
      <w:r w:rsidR="003F27D8" w:rsidRPr="003F27D8">
        <w:rPr>
          <w:rFonts w:cs="Times New Roman"/>
          <w:noProof/>
          <w:szCs w:val="24"/>
        </w:rPr>
        <w:t xml:space="preserve">, </w:t>
      </w:r>
      <w:r w:rsidR="003F27D8" w:rsidRPr="003F27D8">
        <w:rPr>
          <w:rFonts w:cs="Times New Roman"/>
          <w:i/>
          <w:iCs/>
          <w:noProof/>
          <w:szCs w:val="24"/>
        </w:rPr>
        <w:t>11</w:t>
      </w:r>
      <w:r w:rsidR="003F27D8" w:rsidRPr="003F27D8">
        <w:rPr>
          <w:rFonts w:cs="Times New Roman"/>
          <w:noProof/>
          <w:szCs w:val="24"/>
        </w:rPr>
        <w:t>(7), 351.</w:t>
      </w:r>
    </w:p>
    <w:p w14:paraId="51416A3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Ames, H., Hestevik, C. H., &amp; Briggs, A. M. (2024). Acceptability, values, and preferences of older people for chronic low back pain management; a qualitative evidence synthesis. </w:t>
      </w:r>
      <w:r w:rsidRPr="003F27D8">
        <w:rPr>
          <w:rFonts w:cs="Times New Roman"/>
          <w:i/>
          <w:iCs/>
          <w:noProof/>
          <w:szCs w:val="24"/>
        </w:rPr>
        <w:t>BMC Geriatrics</w:t>
      </w:r>
      <w:r w:rsidRPr="003F27D8">
        <w:rPr>
          <w:rFonts w:cs="Times New Roman"/>
          <w:noProof/>
          <w:szCs w:val="24"/>
        </w:rPr>
        <w:t xml:space="preserve">, </w:t>
      </w:r>
      <w:r w:rsidRPr="003F27D8">
        <w:rPr>
          <w:rFonts w:cs="Times New Roman"/>
          <w:i/>
          <w:iCs/>
          <w:noProof/>
          <w:szCs w:val="24"/>
        </w:rPr>
        <w:t>24</w:t>
      </w:r>
      <w:r w:rsidRPr="003F27D8">
        <w:rPr>
          <w:rFonts w:cs="Times New Roman"/>
          <w:noProof/>
          <w:szCs w:val="24"/>
        </w:rPr>
        <w:t>(1), 1–22. https://doi.org/10.1186/s12877-023-04608-4</w:t>
      </w:r>
    </w:p>
    <w:p w14:paraId="5593B30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Boetje, J., &amp; van de Schoot, R. (2024). The SAFE procedure: a practical stopping heuristic for active learning-based screening in systematic reviews and meta-analyses.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(1), 81.</w:t>
      </w:r>
    </w:p>
    <w:p w14:paraId="1E486D4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Bøg, M., Filges, T., &amp; Jørgensen, A. M. K. (2018). Deployment of personnel to military operations: impact on mental health and social functioning.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(1), 1–127. https://doi.org/https://doi.org/10.4073/csr.2018.6</w:t>
      </w:r>
    </w:p>
    <w:p w14:paraId="5B955D8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(3), e1345.</w:t>
      </w:r>
    </w:p>
    <w:p w14:paraId="0C315C2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(4), e1371. https://doi.org/https://doi.org/10.1002/cl2.1371</w:t>
      </w:r>
    </w:p>
    <w:p w14:paraId="5CAA38A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Borenstein, M., Hedges, L. V., Higgins, J. P. T., &amp; Rothstein, H. R. (2009). </w:t>
      </w:r>
      <w:r w:rsidRPr="003F27D8">
        <w:rPr>
          <w:rFonts w:cs="Times New Roman"/>
          <w:i/>
          <w:iCs/>
          <w:noProof/>
          <w:szCs w:val="24"/>
        </w:rPr>
        <w:t>Introduction to meta-analysis</w:t>
      </w:r>
      <w:r w:rsidRPr="003F27D8">
        <w:rPr>
          <w:rFonts w:cs="Times New Roman"/>
          <w:noProof/>
          <w:szCs w:val="24"/>
        </w:rPr>
        <w:t xml:space="preserve"> (1st ed.). John Wiley &amp; Sons.</w:t>
      </w:r>
    </w:p>
    <w:p w14:paraId="094B9C9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3F27D8">
        <w:rPr>
          <w:rFonts w:cs="Times New Roman"/>
          <w:i/>
          <w:iCs/>
          <w:noProof/>
          <w:szCs w:val="24"/>
        </w:rPr>
        <w:t>Humanities and Social Sciences Communications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1–15.</w:t>
      </w:r>
    </w:p>
    <w:p w14:paraId="34C2D20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Brunton, J., Stansfield, C., Caird, J., &amp; Thomas, J. (2017). Finding relevant studies. In D. Gough, S. Oliver, &amp; J. Thomas (Eds.), </w:t>
      </w:r>
      <w:r w:rsidRPr="003F27D8">
        <w:rPr>
          <w:rFonts w:cs="Times New Roman"/>
          <w:i/>
          <w:iCs/>
          <w:noProof/>
          <w:szCs w:val="24"/>
        </w:rPr>
        <w:t>An introduction to systematic reviews</w:t>
      </w:r>
      <w:r w:rsidRPr="003F27D8">
        <w:rPr>
          <w:rFonts w:cs="Times New Roman"/>
          <w:noProof/>
          <w:szCs w:val="24"/>
        </w:rPr>
        <w:t xml:space="preserve"> (2nd ed., pp. 93–122). Sage.</w:t>
      </w:r>
    </w:p>
    <w:p w14:paraId="31001E7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Burgard, T., &amp; Bittermann, A. (2023). Reducing Literature Screening Workload With Machine Learning. </w:t>
      </w:r>
      <w:r w:rsidRPr="003F27D8">
        <w:rPr>
          <w:rFonts w:cs="Times New Roman"/>
          <w:i/>
          <w:iCs/>
          <w:noProof/>
          <w:szCs w:val="24"/>
        </w:rPr>
        <w:t>Zeitschrift Für Psychologie</w:t>
      </w:r>
      <w:r w:rsidRPr="003F27D8">
        <w:rPr>
          <w:rFonts w:cs="Times New Roman"/>
          <w:noProof/>
          <w:szCs w:val="24"/>
        </w:rPr>
        <w:t>.</w:t>
      </w:r>
    </w:p>
    <w:p w14:paraId="6C9DF02E"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Buscemi, N., Hartling, L., Vandermeer, B., Tjosvold, L., &amp; Klassen, T. P. (2006). Single data extraction generated more errors than double data extraction in systematic reviews. </w:t>
      </w:r>
      <w:r w:rsidRPr="003F27D8">
        <w:rPr>
          <w:rFonts w:cs="Times New Roman"/>
          <w:i/>
          <w:iCs/>
          <w:noProof/>
          <w:szCs w:val="24"/>
        </w:rPr>
        <w:t xml:space="preserve">Journal of </w:t>
      </w:r>
      <w:r w:rsidRPr="003F27D8">
        <w:rPr>
          <w:rFonts w:cs="Times New Roman"/>
          <w:i/>
          <w:iCs/>
          <w:noProof/>
          <w:szCs w:val="24"/>
        </w:rPr>
        <w:lastRenderedPageBreak/>
        <w:t>Clinical Epidemiology</w:t>
      </w:r>
      <w:r w:rsidRPr="003F27D8">
        <w:rPr>
          <w:rFonts w:cs="Times New Roman"/>
          <w:noProof/>
          <w:szCs w:val="24"/>
        </w:rPr>
        <w:t xml:space="preserve">, </w:t>
      </w:r>
      <w:r w:rsidRPr="003F27D8">
        <w:rPr>
          <w:rFonts w:cs="Times New Roman"/>
          <w:i/>
          <w:iCs/>
          <w:noProof/>
          <w:szCs w:val="24"/>
        </w:rPr>
        <w:t>59</w:t>
      </w:r>
      <w:r w:rsidRPr="003F27D8">
        <w:rPr>
          <w:rFonts w:cs="Times New Roman"/>
          <w:noProof/>
          <w:szCs w:val="24"/>
        </w:rPr>
        <w:t>(7), 697–703.</w:t>
      </w:r>
    </w:p>
    <w:p w14:paraId="021407F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Campbell Collaboration. (2023). </w:t>
      </w:r>
      <w:r w:rsidRPr="003F27D8">
        <w:rPr>
          <w:rFonts w:cs="Times New Roman"/>
          <w:i/>
          <w:iCs/>
          <w:noProof/>
          <w:szCs w:val="24"/>
        </w:rPr>
        <w:t>Stepping up evidence synthesis: faster, cheaper and more useful</w:t>
      </w:r>
      <w:r w:rsidRPr="003F27D8">
        <w:rPr>
          <w:rFonts w:cs="Times New Roman"/>
          <w:noProof/>
          <w:szCs w:val="24"/>
        </w:rPr>
        <w:t>. https://www.campbellcollaboration.org/news-and-events/news/stepping-up-evidence-synthesis.html</w:t>
      </w:r>
    </w:p>
    <w:p w14:paraId="5581DD3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Campos, D. G., Fütterer, T., Gfrörer, T., Lavelle-Hill, R. E., Murayama, K., König, L., Hecht, M., Zitzmann, S., &amp; Scherer, R. (2023). </w:t>
      </w:r>
      <w:r w:rsidRPr="003F27D8">
        <w:rPr>
          <w:rFonts w:cs="Times New Roman"/>
          <w:i/>
          <w:iCs/>
          <w:noProof/>
          <w:szCs w:val="24"/>
        </w:rPr>
        <w:t>Screening Smarter, Not Harder: A Comparative Analysis of Machine Learning Screening Algorithms and Heuristic Stopping Criteria for Systematic Reviews in Educational Research</w:t>
      </w:r>
      <w:r w:rsidRPr="003F27D8">
        <w:rPr>
          <w:rFonts w:cs="Times New Roman"/>
          <w:noProof/>
          <w:szCs w:val="24"/>
        </w:rPr>
        <w:t>.</w:t>
      </w:r>
    </w:p>
    <w:p w14:paraId="720FEB4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Chicco, D., &amp; Jurman, G. (2023). The Matthews correlation coefficient (MCC) should replace the ROC AUC as the standard metric for assessing binary classification. </w:t>
      </w:r>
      <w:r w:rsidRPr="003F27D8">
        <w:rPr>
          <w:rFonts w:cs="Times New Roman"/>
          <w:i/>
          <w:iCs/>
          <w:noProof/>
          <w:szCs w:val="24"/>
        </w:rPr>
        <w:t>BioData Mining</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(1), 1–23.</w:t>
      </w:r>
    </w:p>
    <w:p w14:paraId="67C12BE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Cohen, A. M., Hersh, W. R., Peterson, K., &amp; Yen, P.-Y. (2006). Reducing workload in systematic review preparation using automated citation classification. </w:t>
      </w:r>
      <w:r w:rsidRPr="003F27D8">
        <w:rPr>
          <w:rFonts w:cs="Times New Roman"/>
          <w:i/>
          <w:iCs/>
          <w:noProof/>
          <w:szCs w:val="24"/>
        </w:rPr>
        <w:t>Journal of the American Medical Informatics Association</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(2), 206–219.</w:t>
      </w:r>
    </w:p>
    <w:p w14:paraId="78BD159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(2), e1239. https://doi.org/https://doi.org/10.1002/cl2.1239</w:t>
      </w:r>
    </w:p>
    <w:p w14:paraId="08F29E0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(4), e1291. https://doi.org/https://doi.org/10.1002/cl2.1291</w:t>
      </w:r>
    </w:p>
    <w:p w14:paraId="5EA40C9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e1209. https://doi.org/https://doi.org/10.1002/cl2.1209</w:t>
      </w:r>
    </w:p>
    <w:p w14:paraId="5683C53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(3), e1254. https://doi.org/10.1002/cl2.1254</w:t>
      </w:r>
    </w:p>
    <w:p w14:paraId="18327A7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Dietrichson, J., Filges, T., Klokker, R. H., Viinholt, B. C. A., Bøg, M., &amp; Jensen, U. H. (2020). Targeted school-based interventions for improving reading and mathematics for students with, </w:t>
      </w:r>
      <w:r w:rsidRPr="003F27D8">
        <w:rPr>
          <w:rFonts w:cs="Times New Roman"/>
          <w:noProof/>
          <w:szCs w:val="24"/>
        </w:rPr>
        <w:lastRenderedPageBreak/>
        <w:t xml:space="preserve">or at risk of, academic difficulties in Grades 7–12: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(2), e1081. https://doi.org/10.1002/cl2.1081</w:t>
      </w:r>
    </w:p>
    <w:p w14:paraId="6391281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17</w:t>
      </w:r>
      <w:r w:rsidRPr="003F27D8">
        <w:rPr>
          <w:rFonts w:cs="Times New Roman"/>
          <w:noProof/>
          <w:szCs w:val="24"/>
        </w:rPr>
        <w:t>(2), e1152. https://doi.org/10.1002/cl2.1152</w:t>
      </w:r>
    </w:p>
    <w:p w14:paraId="52BC7DD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Doi, S. A., &amp; Xu, C. (2021). The Freeman–Tukey double arcsine transformation for the meta-analysis of proportions: Recent criticisms were seriously misleading. </w:t>
      </w:r>
      <w:r w:rsidRPr="003F27D8">
        <w:rPr>
          <w:rFonts w:cs="Times New Roman"/>
          <w:i/>
          <w:iCs/>
          <w:noProof/>
          <w:szCs w:val="24"/>
        </w:rPr>
        <w:t>Journal of Evidence-Based Medicine</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(4), 259–261. https://doi.org/https://doi.org/10.1111/jebm.12445</w:t>
      </w:r>
    </w:p>
    <w:p w14:paraId="24342F0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EPPI-Centre. (2024). </w:t>
      </w:r>
      <w:r w:rsidRPr="003F27D8">
        <w:rPr>
          <w:rFonts w:cs="Times New Roman"/>
          <w:i/>
          <w:iCs/>
          <w:noProof/>
          <w:szCs w:val="24"/>
        </w:rPr>
        <w:t>Automated data extraction using GPT-4</w:t>
      </w:r>
      <w:r w:rsidRPr="003F27D8">
        <w:rPr>
          <w:rFonts w:cs="Times New Roman"/>
          <w:noProof/>
          <w:szCs w:val="24"/>
        </w:rPr>
        <w:t>. https://eppi.ioe.ac.uk/cms/Default.aspx?tabid=3921</w:t>
      </w:r>
    </w:p>
    <w:p w14:paraId="00FD8A9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Evensen, L. H., Kleven, L., Dahm, K. T., Hafstad, E. V., Holte, H. H., Robberstad, B., &amp; Risstad, H. (2023). </w:t>
      </w:r>
      <w:r w:rsidRPr="003F27D8">
        <w:rPr>
          <w:rFonts w:cs="Times New Roman"/>
          <w:i/>
          <w:iCs/>
          <w:noProof/>
          <w:szCs w:val="24"/>
        </w:rPr>
        <w:t>Sutur av degenerative rotatorcuff-rupturer: en fullstendig metodevurdering [Rotator cuff repair for degenerative rotator cuff tears: a health technology assessment].</w:t>
      </w:r>
      <w:r w:rsidRPr="003F27D8">
        <w:rPr>
          <w:rFonts w:cs="Times New Roman"/>
          <w:noProof/>
          <w:szCs w:val="24"/>
        </w:rPr>
        <w:t xml:space="preserve"> https://www.fhi.no/publ/2023/sutur-av-degenerative-rotatorcuff-rupturer/</w:t>
      </w:r>
    </w:p>
    <w:p w14:paraId="19BABBA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Andersen, D., &amp; Jørgensen, A.-M. K. (2015). Functional Family Therapy (FFT) for Young People in Treatment for Non-opioid Drug Use: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11</w:t>
      </w:r>
      <w:r w:rsidRPr="003F27D8">
        <w:rPr>
          <w:rFonts w:cs="Times New Roman"/>
          <w:noProof/>
          <w:szCs w:val="24"/>
        </w:rPr>
        <w:t>(1), 1–77. https://doi.org/https://doi.org/10.4073/csr.2015.14</w:t>
      </w:r>
    </w:p>
    <w:p w14:paraId="2BBD54E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(4), e1282. https://doi.org/https://doi.org/10.1002/cl2.1282</w:t>
      </w:r>
    </w:p>
    <w:p w14:paraId="196FDEF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Dietrichson, J., Viinholt, B. C. A., &amp; Dalgaard, N. T. (2022). Service learning for improving academic success in students in grade K to 12: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e1210. https://doi.org/https://doi.org/10.1002/cl2.1210</w:t>
      </w:r>
    </w:p>
    <w:p w14:paraId="73C9FAF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Montgomery, E., Kastrup, M., &amp; Jørgensen, A.-M. K. (2015). The Impact of Detention on the Health of Asylum Seekers: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11</w:t>
      </w:r>
      <w:r w:rsidRPr="003F27D8">
        <w:rPr>
          <w:rFonts w:cs="Times New Roman"/>
          <w:noProof/>
          <w:szCs w:val="24"/>
        </w:rPr>
        <w:t>(1), 1–104. https://doi.org/https://doi.org/10.4073/csr.2015.13</w:t>
      </w:r>
    </w:p>
    <w:p w14:paraId="26ADCBA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Siren, A., Fridberg, T., &amp; Nielsen, B. C. V. (2020). Voluntary work for the physical and mental health of older volunteers: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(4), e1124. https://doi.org/https://doi.org/10.1002/cl2.1124</w:t>
      </w:r>
    </w:p>
    <w:p w14:paraId="7469C55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Smedslund, G., Eriksen, T., &amp; Birkefoss, K. (2023). PROTOCOL: The FRIENDS </w:t>
      </w:r>
      <w:r w:rsidRPr="003F27D8">
        <w:rPr>
          <w:rFonts w:cs="Times New Roman"/>
          <w:noProof/>
          <w:szCs w:val="24"/>
        </w:rPr>
        <w:lastRenderedPageBreak/>
        <w:t xml:space="preserve">preventive programme for reducing anxiety symptoms in children and adolescents: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(4), e1374. https://doi.org/https://doi.org/10.1002/cl2.1374</w:t>
      </w:r>
    </w:p>
    <w:p w14:paraId="18C3888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Sonne‐Schmidt, C. S., &amp; Nielsen, B. C. V. (2018). Small class sizes for improving student achievement in primary and secondary schools: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(1), 1–107. https://doi.org/10.4073/csr.2018.10</w:t>
      </w:r>
    </w:p>
    <w:p w14:paraId="2058427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15</w:t>
      </w:r>
      <w:r w:rsidRPr="003F27D8">
        <w:rPr>
          <w:rFonts w:cs="Times New Roman"/>
          <w:noProof/>
          <w:szCs w:val="24"/>
        </w:rPr>
        <w:t>(4), e1060. https://doi.org/https://doi.org/10.1002/cl2.1060</w:t>
      </w:r>
    </w:p>
    <w:p w14:paraId="74FB5A6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(2), e1321. https://doi.org/https://doi.org/10.1002/cl2.1321</w:t>
      </w:r>
    </w:p>
    <w:p w14:paraId="69C8D71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Gargari, O. K., Mahmoudi, M. H., Hajisafarali, M., &amp; Samiee, R. (2024). Enhancing title and abstract screening for systematic reviews with GPT-3.5 turbo. </w:t>
      </w:r>
      <w:r w:rsidRPr="003F27D8">
        <w:rPr>
          <w:rFonts w:cs="Times New Roman"/>
          <w:i/>
          <w:iCs/>
          <w:noProof/>
          <w:szCs w:val="24"/>
        </w:rPr>
        <w:t>BMJ Evidence-Based Medicine</w:t>
      </w:r>
      <w:r w:rsidRPr="003F27D8">
        <w:rPr>
          <w:rFonts w:cs="Times New Roman"/>
          <w:noProof/>
          <w:szCs w:val="24"/>
        </w:rPr>
        <w:t xml:space="preserve">, </w:t>
      </w:r>
      <w:r w:rsidRPr="003F27D8">
        <w:rPr>
          <w:rFonts w:cs="Times New Roman"/>
          <w:i/>
          <w:iCs/>
          <w:noProof/>
          <w:szCs w:val="24"/>
        </w:rPr>
        <w:t>29</w:t>
      </w:r>
      <w:r w:rsidRPr="003F27D8">
        <w:rPr>
          <w:rFonts w:cs="Times New Roman"/>
          <w:noProof/>
          <w:szCs w:val="24"/>
        </w:rPr>
        <w:t>(1), 69 LP – 70. https://doi.org/10.1136/bmjebm-2023-112678</w:t>
      </w:r>
    </w:p>
    <w:p w14:paraId="58F0A94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277. https://doi.org/10.1186/s13643-019-1221-3</w:t>
      </w:r>
    </w:p>
    <w:p w14:paraId="239B08C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Gough, D., Oliver, S., &amp; Thomas, J. (2017). </w:t>
      </w:r>
      <w:r w:rsidRPr="003F27D8">
        <w:rPr>
          <w:rFonts w:cs="Times New Roman"/>
          <w:i/>
          <w:iCs/>
          <w:noProof/>
          <w:szCs w:val="24"/>
        </w:rPr>
        <w:t>An introduction to systematic reviews</w:t>
      </w:r>
      <w:r w:rsidRPr="003F27D8">
        <w:rPr>
          <w:rFonts w:cs="Times New Roman"/>
          <w:noProof/>
          <w:szCs w:val="24"/>
        </w:rPr>
        <w:t xml:space="preserve"> (2nd ed.). Sage.</w:t>
      </w:r>
    </w:p>
    <w:p w14:paraId="0DAC50B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Guo, E., Gupta, M., Deng, J., Park, Y.-J., Paget, M., &amp; Naugler, C. (2024). Automated Paper Screening for Clinical Reviews Using Large Language Models: Data Analysis Study. </w:t>
      </w:r>
      <w:r w:rsidRPr="003F27D8">
        <w:rPr>
          <w:rFonts w:cs="Times New Roman"/>
          <w:i/>
          <w:iCs/>
          <w:noProof/>
          <w:szCs w:val="24"/>
        </w:rPr>
        <w:t>J Med Internet Res</w:t>
      </w:r>
      <w:r w:rsidRPr="003F27D8">
        <w:rPr>
          <w:rFonts w:cs="Times New Roman"/>
          <w:noProof/>
          <w:szCs w:val="24"/>
        </w:rPr>
        <w:t xml:space="preserve">, </w:t>
      </w:r>
      <w:r w:rsidRPr="003F27D8">
        <w:rPr>
          <w:rFonts w:cs="Times New Roman"/>
          <w:i/>
          <w:iCs/>
          <w:noProof/>
          <w:szCs w:val="24"/>
        </w:rPr>
        <w:t>26</w:t>
      </w:r>
      <w:r w:rsidRPr="003F27D8">
        <w:rPr>
          <w:rFonts w:cs="Times New Roman"/>
          <w:noProof/>
          <w:szCs w:val="24"/>
        </w:rPr>
        <w:t>, e48996. https://doi.org/10.2196/48996</w:t>
      </w:r>
    </w:p>
    <w:p w14:paraId="26A0A26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Hedges, L. V. (1992). Modeling Publication Selection Effects in Meta-Analysis. </w:t>
      </w:r>
      <w:r w:rsidRPr="003F27D8">
        <w:rPr>
          <w:rFonts w:cs="Times New Roman"/>
          <w:i/>
          <w:iCs/>
          <w:noProof/>
          <w:szCs w:val="24"/>
        </w:rPr>
        <w:t>Statistical Science</w:t>
      </w:r>
      <w:r w:rsidRPr="003F27D8">
        <w:rPr>
          <w:rFonts w:cs="Times New Roman"/>
          <w:noProof/>
          <w:szCs w:val="24"/>
        </w:rPr>
        <w:t xml:space="preserve">, </w:t>
      </w:r>
      <w:r w:rsidRPr="003F27D8">
        <w:rPr>
          <w:rFonts w:cs="Times New Roman"/>
          <w:i/>
          <w:iCs/>
          <w:noProof/>
          <w:szCs w:val="24"/>
        </w:rPr>
        <w:t>7</w:t>
      </w:r>
      <w:r w:rsidRPr="003F27D8">
        <w:rPr>
          <w:rFonts w:cs="Times New Roman"/>
          <w:noProof/>
          <w:szCs w:val="24"/>
        </w:rPr>
        <w:t>(2), 246–255. http://www.jstor.org/stable/2246311</w:t>
      </w:r>
    </w:p>
    <w:p w14:paraId="7B83AFF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Higgins, J. P. T., Thomas, J., Chandler, J., Cumpston, M. S., Li, T., Page, M., &amp; Welch, V. (2019). </w:t>
      </w:r>
      <w:r w:rsidRPr="003F27D8">
        <w:rPr>
          <w:rFonts w:cs="Times New Roman"/>
          <w:i/>
          <w:iCs/>
          <w:noProof/>
          <w:szCs w:val="24"/>
        </w:rPr>
        <w:t>Cochrane handbook for systematic reviews of interventions</w:t>
      </w:r>
      <w:r w:rsidRPr="003F27D8">
        <w:rPr>
          <w:rFonts w:cs="Times New Roman"/>
          <w:noProof/>
          <w:szCs w:val="24"/>
        </w:rPr>
        <w:t xml:space="preserve"> (2nd ed.). Wiley Online Library. https://doi.org/10.1002/9781119536604</w:t>
      </w:r>
    </w:p>
    <w:p w14:paraId="0602B9C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Hou, Z., &amp; Tipton, E. (2024). Enhancing recall in automated record screening: A resampling algorithm.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n/a</w:t>
      </w:r>
      <w:r w:rsidRPr="003F27D8">
        <w:rPr>
          <w:rFonts w:cs="Times New Roman"/>
          <w:noProof/>
          <w:szCs w:val="24"/>
        </w:rPr>
        <w:t xml:space="preserve">(n/a). </w:t>
      </w:r>
      <w:r w:rsidRPr="003F27D8">
        <w:rPr>
          <w:rFonts w:cs="Times New Roman"/>
          <w:noProof/>
          <w:szCs w:val="24"/>
        </w:rPr>
        <w:lastRenderedPageBreak/>
        <w:t>https://doi.org/https://doi.org/10.1002/jrsm.1690</w:t>
      </w:r>
    </w:p>
    <w:p w14:paraId="319DC45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3F27D8">
        <w:rPr>
          <w:rFonts w:cs="Times New Roman"/>
          <w:i/>
          <w:iCs/>
          <w:noProof/>
          <w:szCs w:val="24"/>
        </w:rPr>
        <w:t>BMC Medical Research Methodology</w:t>
      </w:r>
      <w:r w:rsidRPr="003F27D8">
        <w:rPr>
          <w:rFonts w:cs="Times New Roman"/>
          <w:noProof/>
          <w:szCs w:val="24"/>
        </w:rPr>
        <w:t xml:space="preserve">, </w:t>
      </w:r>
      <w:r w:rsidRPr="003F27D8">
        <w:rPr>
          <w:rFonts w:cs="Times New Roman"/>
          <w:i/>
          <w:iCs/>
          <w:noProof/>
          <w:szCs w:val="24"/>
        </w:rPr>
        <w:t>24</w:t>
      </w:r>
      <w:r w:rsidRPr="003F27D8">
        <w:rPr>
          <w:rFonts w:cs="Times New Roman"/>
          <w:noProof/>
          <w:szCs w:val="24"/>
        </w:rPr>
        <w:t>(1), 78. https://doi.org/10.1186/s12874-024-02203-8</w:t>
      </w:r>
    </w:p>
    <w:p w14:paraId="0C82D8B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Jardim, P. S. J., Borge, T. C., &amp; Johansen, T. B. (2021). </w:t>
      </w:r>
      <w:r w:rsidRPr="003F27D8">
        <w:rPr>
          <w:rFonts w:cs="Times New Roman"/>
          <w:i/>
          <w:iCs/>
          <w:noProof/>
          <w:szCs w:val="24"/>
        </w:rPr>
        <w:t>Effekten av antipsykotika ved førstegangspsykose: en systematisk oversikt [The effect of antipsychotics on first episode psychosis]</w:t>
      </w:r>
      <w:r w:rsidRPr="003F27D8">
        <w:rPr>
          <w:rFonts w:cs="Times New Roman"/>
          <w:noProof/>
          <w:szCs w:val="24"/>
        </w:rPr>
        <w:t>. https://fhi.no/publ/2021/effekten-av-antipsykotika-ved-forstegangspsykose/</w:t>
      </w:r>
    </w:p>
    <w:p w14:paraId="12BF948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Johansen, T. B., Nøkleby, H., Langøien, L. J., &amp; Borge, T. C. (2022). </w:t>
      </w:r>
      <w:r w:rsidRPr="003F27D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3F27D8">
        <w:rPr>
          <w:rFonts w:cs="Times New Roman"/>
          <w:noProof/>
          <w:szCs w:val="24"/>
        </w:rPr>
        <w:t>. https://www.fhi.no/publ/2022/samvars--og-bostedsordninger-etter-samlivsbrudd-betydninger-for-barn-og-ung/</w:t>
      </w:r>
    </w:p>
    <w:p w14:paraId="5AB2E36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Jonnalagadda, S. R., Goyal, P., &amp; Huffman, M. D. (2015). Automating data extraction in systematic reviews: a systematic review.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78. https://doi.org/10.1186/s13643-015-0066-7</w:t>
      </w:r>
    </w:p>
    <w:p w14:paraId="1BCABBC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n/a</w:t>
      </w:r>
      <w:r w:rsidRPr="003F27D8">
        <w:rPr>
          <w:rFonts w:cs="Times New Roman"/>
          <w:noProof/>
          <w:szCs w:val="24"/>
        </w:rPr>
        <w:t>(n/a). https://doi.org/https://doi.org/10.1002/jrsm.1715</w:t>
      </w:r>
    </w:p>
    <w:p w14:paraId="4B91FD6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König, L., Zitzmann, S., Fütterer, T., Campos, D. G., Scherer, R., &amp; Hecht, M. (2023). </w:t>
      </w:r>
      <w:r w:rsidRPr="003F27D8">
        <w:rPr>
          <w:rFonts w:cs="Times New Roman"/>
          <w:i/>
          <w:iCs/>
          <w:noProof/>
          <w:szCs w:val="24"/>
        </w:rPr>
        <w:t>When to stop and what to expect—An Evaluation of the performance of stopping rules in AI-assisted reviewing for psychological meta-analytical research</w:t>
      </w:r>
      <w:r w:rsidRPr="003F27D8">
        <w:rPr>
          <w:rFonts w:cs="Times New Roman"/>
          <w:noProof/>
          <w:szCs w:val="24"/>
        </w:rPr>
        <w:t>.</w:t>
      </w:r>
    </w:p>
    <w:p w14:paraId="3AB3694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Kugley, S., Wade, A., Thomas, J., Mahood, Q., Jørgensen, A.-M. K., Hammerstrøm, K., &amp; Sathe, N. (2016). Searching for studies: A guide to information retrieval for Campbell.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(1), 1–73. https://doi.org/10.4073/cmg.2016.1</w:t>
      </w:r>
    </w:p>
    <w:p w14:paraId="0FD9C0B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Meneses Echavez, J. F., Borge, T. C., Nygård, H. T., Gaustad, J.-V., &amp; Hval, G. (2022). </w:t>
      </w:r>
      <w:r w:rsidRPr="003F27D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3F27D8">
        <w:rPr>
          <w:rFonts w:cs="Times New Roman"/>
          <w:noProof/>
          <w:szCs w:val="24"/>
        </w:rPr>
        <w:t>. https://www.fhi.no/publ/2022/psykologisk-debriefing-for-helsepersonell-involvert-i-uonskede-pasienthende/</w:t>
      </w:r>
    </w:p>
    <w:p w14:paraId="2FC3587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Ng, L., Pitt, V., Huckvale, K., Clavisi, O., Turner, T., Gruen, R., &amp; Elliott, J. H. (2014). Title and </w:t>
      </w:r>
      <w:r w:rsidRPr="003F27D8">
        <w:rPr>
          <w:rFonts w:cs="Times New Roman"/>
          <w:noProof/>
          <w:szCs w:val="24"/>
        </w:rPr>
        <w:lastRenderedPageBreak/>
        <w:t xml:space="preserve">Abstract Screening and Evaluation in Systematic Reviews (TASER): a pilot randomised controlled trial of title and abstract screening by medical students.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 1–8.</w:t>
      </w:r>
    </w:p>
    <w:p w14:paraId="7424BBB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O’Connor, A. M., Tsafnat, G., Thomas, J., Glasziou, P., Gilbert, S. B., &amp; Hutton, B. (2019). A question of trust: can we build an evidence base to gain trust in systematic review automation technologies?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1–8.</w:t>
      </w:r>
    </w:p>
    <w:p w14:paraId="4042656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O’Mara-Eves, A., Thomas, J., McNaught, J., Miwa, M., &amp; Ananiadou, S. (2015). Using text mining for study identification in systematic reviews: a systematic review of current approaches.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1–22.</w:t>
      </w:r>
    </w:p>
    <w:p w14:paraId="4E39C98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(3), 275–280.</w:t>
      </w:r>
    </w:p>
    <w:p w14:paraId="19F461F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Olorisade, B. K., Brereton, P., &amp; Andras, P. (2017). Reproducibility of studies on text mining for citation screening in systematic reviews: Evaluation and checklist. </w:t>
      </w:r>
      <w:r w:rsidRPr="003F27D8">
        <w:rPr>
          <w:rFonts w:cs="Times New Roman"/>
          <w:i/>
          <w:iCs/>
          <w:noProof/>
          <w:szCs w:val="24"/>
        </w:rPr>
        <w:t>Journal of Biomedical Informatics</w:t>
      </w:r>
      <w:r w:rsidRPr="003F27D8">
        <w:rPr>
          <w:rFonts w:cs="Times New Roman"/>
          <w:noProof/>
          <w:szCs w:val="24"/>
        </w:rPr>
        <w:t xml:space="preserve">, </w:t>
      </w:r>
      <w:r w:rsidRPr="003F27D8">
        <w:rPr>
          <w:rFonts w:cs="Times New Roman"/>
          <w:i/>
          <w:iCs/>
          <w:noProof/>
          <w:szCs w:val="24"/>
        </w:rPr>
        <w:t>73</w:t>
      </w:r>
      <w:r w:rsidRPr="003F27D8">
        <w:rPr>
          <w:rFonts w:cs="Times New Roman"/>
          <w:noProof/>
          <w:szCs w:val="24"/>
        </w:rPr>
        <w:t>, 1–13. https://doi.org/https://doi.org/10.1016/j.jbi.2017.07.010</w:t>
      </w:r>
    </w:p>
    <w:p w14:paraId="4F5DE24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Olorisade, B. K., de Quincey, E., Brereton, P., &amp; Andras, P. (2016). A critical analysis of studies that address the use of text mining for citation screening in systematic reviews. </w:t>
      </w:r>
      <w:r w:rsidRPr="003F27D8">
        <w:rPr>
          <w:rFonts w:cs="Times New Roman"/>
          <w:i/>
          <w:iCs/>
          <w:noProof/>
          <w:szCs w:val="24"/>
        </w:rPr>
        <w:t>Proceedings of the 20th International Conference on Evaluation and Assessment in Software Engineering</w:t>
      </w:r>
      <w:r w:rsidRPr="003F27D8">
        <w:rPr>
          <w:rFonts w:cs="Times New Roman"/>
          <w:noProof/>
          <w:szCs w:val="24"/>
        </w:rPr>
        <w:t>, 1–11.</w:t>
      </w:r>
    </w:p>
    <w:p w14:paraId="5FBE3FB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OpenAI. (2024). </w:t>
      </w:r>
      <w:r w:rsidRPr="003F27D8">
        <w:rPr>
          <w:rFonts w:cs="Times New Roman"/>
          <w:i/>
          <w:iCs/>
          <w:noProof/>
          <w:szCs w:val="24"/>
        </w:rPr>
        <w:t>Function calling</w:t>
      </w:r>
      <w:r w:rsidRPr="003F27D8">
        <w:rPr>
          <w:rFonts w:cs="Times New Roman"/>
          <w:noProof/>
          <w:szCs w:val="24"/>
        </w:rPr>
        <w:t>. https://platform.openai.com/docs/guides/function-calling</w:t>
      </w:r>
    </w:p>
    <w:p w14:paraId="20A02B3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Pacheco, R. L., Riera, R., Santos, G. M., Sá, K. M. M., Bomfim, L. G. P., da Silva, G. R., de Oliveira, F. R., &amp; Martimbianco, A. L. C. (2023). Many systematic reviews with a single author are indexed in PubMed. </w:t>
      </w:r>
      <w:r w:rsidRPr="003F27D8">
        <w:rPr>
          <w:rFonts w:cs="Times New Roman"/>
          <w:i/>
          <w:iCs/>
          <w:noProof/>
          <w:szCs w:val="24"/>
        </w:rPr>
        <w:t>Journal of Clinical Epidemiology</w:t>
      </w:r>
      <w:r w:rsidRPr="003F27D8">
        <w:rPr>
          <w:rFonts w:cs="Times New Roman"/>
          <w:noProof/>
          <w:szCs w:val="24"/>
        </w:rPr>
        <w:t xml:space="preserve">, </w:t>
      </w:r>
      <w:r w:rsidRPr="003F27D8">
        <w:rPr>
          <w:rFonts w:cs="Times New Roman"/>
          <w:i/>
          <w:iCs/>
          <w:noProof/>
          <w:szCs w:val="24"/>
        </w:rPr>
        <w:t>156</w:t>
      </w:r>
      <w:r w:rsidRPr="003F27D8">
        <w:rPr>
          <w:rFonts w:cs="Times New Roman"/>
          <w:noProof/>
          <w:szCs w:val="24"/>
        </w:rPr>
        <w:t>, 124–126.</w:t>
      </w:r>
    </w:p>
    <w:p w14:paraId="3BA7035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Perlman‐Arrow, S., Loo, N., Bobrovitz, N., Yan, T., &amp; Arora, R. K. (2023). A real‐world evaluation of the implementation of NLP technology in abstract screening of a systematic review.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(4), 608–621.</w:t>
      </w:r>
    </w:p>
    <w:p w14:paraId="113743E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Polanin, J. R., Pigott, T. D., Espelage, D. L., &amp; Grotpeter, J. K. (2019). Best practice guidelines for abstract screening large-evidence systematic reviews and meta-analyses.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(3), 330–342. https://doi.org/https://doi.org/10.1002/jrsm.1354</w:t>
      </w:r>
    </w:p>
    <w:p w14:paraId="1035742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Pustejovsky, J. E. (2020). </w:t>
      </w:r>
      <w:r w:rsidRPr="003F27D8">
        <w:rPr>
          <w:rFonts w:cs="Times New Roman"/>
          <w:i/>
          <w:iCs/>
          <w:noProof/>
          <w:szCs w:val="24"/>
        </w:rPr>
        <w:t>clubSandwich: Cluster-robust (sandwich) variance estimators with small-sample corrections</w:t>
      </w:r>
      <w:r w:rsidRPr="003F27D8">
        <w:rPr>
          <w:rFonts w:cs="Times New Roman"/>
          <w:noProof/>
          <w:szCs w:val="24"/>
        </w:rPr>
        <w:t xml:space="preserve"> (0.5.5). cran.r-project.org. https://cran.r-project.org/web/packages/clubSandwich/index.html</w:t>
      </w:r>
    </w:p>
    <w:p w14:paraId="6DB4BCB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Pustejovsky, J. E., &amp; Tipton, E. (2021). Meta-analysis with robust variance estimation: Expanding </w:t>
      </w:r>
      <w:r w:rsidRPr="003F27D8">
        <w:rPr>
          <w:rFonts w:cs="Times New Roman"/>
          <w:noProof/>
          <w:szCs w:val="24"/>
        </w:rPr>
        <w:lastRenderedPageBreak/>
        <w:t xml:space="preserve">the range of working models. </w:t>
      </w:r>
      <w:r w:rsidRPr="003F27D8">
        <w:rPr>
          <w:rFonts w:cs="Times New Roman"/>
          <w:i/>
          <w:iCs/>
          <w:noProof/>
          <w:szCs w:val="24"/>
        </w:rPr>
        <w:t>Prevention Science</w:t>
      </w:r>
      <w:r w:rsidRPr="003F27D8">
        <w:rPr>
          <w:rFonts w:cs="Times New Roman"/>
          <w:noProof/>
          <w:szCs w:val="24"/>
        </w:rPr>
        <w:t xml:space="preserve">, </w:t>
      </w:r>
      <w:r w:rsidRPr="003F27D8">
        <w:rPr>
          <w:rFonts w:cs="Times New Roman"/>
          <w:i/>
          <w:iCs/>
          <w:noProof/>
          <w:szCs w:val="24"/>
        </w:rPr>
        <w:t>23</w:t>
      </w:r>
      <w:r w:rsidRPr="003F27D8">
        <w:rPr>
          <w:rFonts w:cs="Times New Roman"/>
          <w:noProof/>
          <w:szCs w:val="24"/>
        </w:rPr>
        <w:t>(1), 425–438. https://doi.org/10.1007/s11121-021-01246-3</w:t>
      </w:r>
    </w:p>
    <w:p w14:paraId="49B901E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 Core Team. (2022). </w:t>
      </w:r>
      <w:r w:rsidRPr="003F27D8">
        <w:rPr>
          <w:rFonts w:cs="Times New Roman"/>
          <w:i/>
          <w:iCs/>
          <w:noProof/>
          <w:szCs w:val="24"/>
        </w:rPr>
        <w:t>R: A language and environment for statistical computing</w:t>
      </w:r>
      <w:r w:rsidRPr="003F27D8">
        <w:rPr>
          <w:rFonts w:cs="Times New Roman"/>
          <w:noProof/>
          <w:szCs w:val="24"/>
        </w:rPr>
        <w:t>. R Foundation for Statistical Computing, Vienna, Austria. https://www.r-project.org/</w:t>
      </w:r>
    </w:p>
    <w:p w14:paraId="598A44E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Rathbone, J., Hoffmann, T., &amp; Glasziou, P. (2015). Faster title and abstract screening? Evaluating Abstrackr, a semi-automated online screening program for systematic reviewers.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1–7.</w:t>
      </w:r>
    </w:p>
    <w:p w14:paraId="2881E07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Rothstein, H. R., Sutton, A. J., &amp; Borenstein, M. (2005). Publication bias in meta-analysis. In H. R. Rothstein, A. J. Sutton, &amp; M. Borenstein (Eds.), </w:t>
      </w:r>
      <w:r w:rsidRPr="003F27D8">
        <w:rPr>
          <w:rFonts w:cs="Times New Roman"/>
          <w:i/>
          <w:iCs/>
          <w:noProof/>
          <w:szCs w:val="24"/>
        </w:rPr>
        <w:t>Publication bias in meta-analysis: Prevention, assessment and adjustments</w:t>
      </w:r>
      <w:r w:rsidRPr="003F27D8">
        <w:rPr>
          <w:rFonts w:cs="Times New Roman"/>
          <w:noProof/>
          <w:szCs w:val="24"/>
        </w:rPr>
        <w:t>. Wiley Online Library.</w:t>
      </w:r>
    </w:p>
    <w:p w14:paraId="198CA52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Röver, C., &amp; Friede, T. (2022). Double arcsine transform not appropriate for meta-analysis.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(5), 645–648. https://doi.org/https://doi.org/10.1002/jrsm.1591</w:t>
      </w:r>
    </w:p>
    <w:p w14:paraId="43A76E1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RStudio Team. (2015). </w:t>
      </w:r>
      <w:r w:rsidRPr="003F27D8">
        <w:rPr>
          <w:rFonts w:cs="Times New Roman"/>
          <w:i/>
          <w:iCs/>
          <w:noProof/>
          <w:szCs w:val="24"/>
        </w:rPr>
        <w:t>RStudio: Integrated development for R</w:t>
      </w:r>
      <w:r w:rsidRPr="003F27D8">
        <w:rPr>
          <w:rFonts w:cs="Times New Roman"/>
          <w:noProof/>
          <w:szCs w:val="24"/>
        </w:rPr>
        <w:t>. RStudio, Inc., Boston, MA. https://www.rstudio.com/</w:t>
      </w:r>
    </w:p>
    <w:p w14:paraId="0936CA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(3), 476–483. https://doi.org/https://doi.org/10.1002/jrsm.1348</w:t>
      </w:r>
    </w:p>
    <w:p w14:paraId="1607983E"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Shadish, W. R., Cook, T. D., &amp; Campbell, D. T. (2002). </w:t>
      </w:r>
      <w:r w:rsidRPr="003F27D8">
        <w:rPr>
          <w:rFonts w:cs="Times New Roman"/>
          <w:i/>
          <w:iCs/>
          <w:noProof/>
          <w:szCs w:val="24"/>
        </w:rPr>
        <w:t>Experimental and Quasi-Experimental Designs for Generalized Causal Inference</w:t>
      </w:r>
      <w:r w:rsidRPr="003F27D8">
        <w:rPr>
          <w:rFonts w:cs="Times New Roman"/>
          <w:noProof/>
          <w:szCs w:val="24"/>
        </w:rPr>
        <w:t xml:space="preserve"> (2nd ed.). Cengage Learning, Inc.</w:t>
      </w:r>
    </w:p>
    <w:p w14:paraId="3C6846A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Shemilt, I., Khan, N., Park, S., &amp; Thomas, J. (2016). Use of cost-effectiveness analysis to compare the efficiency of study identification methods in systematic reviews.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5</w:t>
      </w:r>
      <w:r w:rsidRPr="003F27D8">
        <w:rPr>
          <w:rFonts w:cs="Times New Roman"/>
          <w:noProof/>
          <w:szCs w:val="24"/>
        </w:rPr>
        <w:t>, 1–13.</w:t>
      </w:r>
    </w:p>
    <w:p w14:paraId="076A92F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5</w:t>
      </w:r>
      <w:r w:rsidRPr="003F27D8">
        <w:rPr>
          <w:rFonts w:cs="Times New Roman"/>
          <w:noProof/>
          <w:szCs w:val="24"/>
        </w:rPr>
        <w:t>(1), 31–49. https://doi.org/https://doi.org/10.1002/jrsm.1093</w:t>
      </w:r>
    </w:p>
    <w:p w14:paraId="1E94C69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Stoll, C. R. T., Izadi, S., Fowler, S., Green, P., Suls, J., &amp; Colditz, G. A. (2019). The value of a second reviewer for study selection in systematic reviews.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(4), 539–545. https://doi.org/10.1002/jrsm.1369</w:t>
      </w:r>
    </w:p>
    <w:p w14:paraId="4C93D6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Syriani, E., David, I., &amp; Kumar, G. (2023). Assessing the Ability of ChatGPT to Screen Articles for Systematic Reviews. </w:t>
      </w:r>
      <w:r w:rsidRPr="003F27D8">
        <w:rPr>
          <w:rFonts w:cs="Times New Roman"/>
          <w:i/>
          <w:iCs/>
          <w:noProof/>
          <w:szCs w:val="24"/>
        </w:rPr>
        <w:t>ArXiv Preprint ArXiv:2307.06464</w:t>
      </w:r>
      <w:r w:rsidRPr="003F27D8">
        <w:rPr>
          <w:rFonts w:cs="Times New Roman"/>
          <w:noProof/>
          <w:szCs w:val="24"/>
        </w:rPr>
        <w:t>.</w:t>
      </w:r>
    </w:p>
    <w:p w14:paraId="5E9D28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lastRenderedPageBreak/>
        <w:t xml:space="preserve">Thomsen, M. K., Seerup, J. K., Dietrichson, J., Bondebjerg, A., &amp; Viinholt, B. C. A. (2022). PROTOCOL: Testing frequency and student achievement: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e1212. https://doi.org/https://doi.org/10.1002/cl2.1212</w:t>
      </w:r>
    </w:p>
    <w:p w14:paraId="4E2BF83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Tipton, E., &amp; Pustejovsky, J. E. (2015). Small-sample adjustments for tests of moderators and model fit using robust variance estimation in meta-regression. </w:t>
      </w:r>
      <w:r w:rsidRPr="003F27D8">
        <w:rPr>
          <w:rFonts w:cs="Times New Roman"/>
          <w:i/>
          <w:iCs/>
          <w:noProof/>
          <w:szCs w:val="24"/>
        </w:rPr>
        <w:t>Journal of Educational and Behavioral Statistics</w:t>
      </w:r>
      <w:r w:rsidRPr="003F27D8">
        <w:rPr>
          <w:rFonts w:cs="Times New Roman"/>
          <w:noProof/>
          <w:szCs w:val="24"/>
        </w:rPr>
        <w:t xml:space="preserve">, </w:t>
      </w:r>
      <w:r w:rsidRPr="003F27D8">
        <w:rPr>
          <w:rFonts w:cs="Times New Roman"/>
          <w:i/>
          <w:iCs/>
          <w:noProof/>
          <w:szCs w:val="24"/>
        </w:rPr>
        <w:t>40</w:t>
      </w:r>
      <w:r w:rsidRPr="003F27D8">
        <w:rPr>
          <w:rFonts w:cs="Times New Roman"/>
          <w:noProof/>
          <w:szCs w:val="24"/>
        </w:rPr>
        <w:t>(6), 604–634. https://doi.org/10.3102/1076998615606099</w:t>
      </w:r>
    </w:p>
    <w:p w14:paraId="07DEF08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Tsafnat, G., Glasziou, P., Choong, M. K., Dunn, A., Galgani, F., &amp; Coiera, E. (2014). Systematic review automation technologies.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(1), 74. https://doi.org/10.1186/2046-4053-3-74</w:t>
      </w:r>
    </w:p>
    <w:p w14:paraId="0EBE905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Valentine, J. C. (2009). Judging the quality of primary research. </w:t>
      </w:r>
      <w:r w:rsidRPr="003F27D8">
        <w:rPr>
          <w:rFonts w:cs="Times New Roman"/>
          <w:i/>
          <w:iCs/>
          <w:noProof/>
          <w:szCs w:val="24"/>
        </w:rPr>
        <w:t>The Handbook of Research Synthesis and Meta-Analysis</w:t>
      </w:r>
      <w:r w:rsidRPr="003F27D8">
        <w:rPr>
          <w:rFonts w:cs="Times New Roman"/>
          <w:noProof/>
          <w:szCs w:val="24"/>
        </w:rPr>
        <w:t xml:space="preserve">, </w:t>
      </w:r>
      <w:r w:rsidRPr="003F27D8">
        <w:rPr>
          <w:rFonts w:cs="Times New Roman"/>
          <w:i/>
          <w:iCs/>
          <w:noProof/>
          <w:szCs w:val="24"/>
        </w:rPr>
        <w:t>2</w:t>
      </w:r>
      <w:r w:rsidRPr="003F27D8">
        <w:rPr>
          <w:rFonts w:cs="Times New Roman"/>
          <w:noProof/>
          <w:szCs w:val="24"/>
        </w:rPr>
        <w:t>, 129–146.</w:t>
      </w:r>
    </w:p>
    <w:p w14:paraId="3FB4018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3F27D8">
        <w:rPr>
          <w:rFonts w:cs="Times New Roman"/>
          <w:i/>
          <w:iCs/>
          <w:noProof/>
          <w:szCs w:val="24"/>
        </w:rPr>
        <w:t>Nature Machine Intelligence</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(2), 125–133.</w:t>
      </w:r>
    </w:p>
    <w:p w14:paraId="77AC043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Viechtbauer, W. (2010). Conducting meta-analyses in R with the metafor package. </w:t>
      </w:r>
      <w:r w:rsidRPr="003F27D8">
        <w:rPr>
          <w:rFonts w:cs="Times New Roman"/>
          <w:i/>
          <w:iCs/>
          <w:noProof/>
          <w:szCs w:val="24"/>
        </w:rPr>
        <w:t>Journal of Statistical Software</w:t>
      </w:r>
      <w:r w:rsidRPr="003F27D8">
        <w:rPr>
          <w:rFonts w:cs="Times New Roman"/>
          <w:noProof/>
          <w:szCs w:val="24"/>
        </w:rPr>
        <w:t xml:space="preserve">, </w:t>
      </w:r>
      <w:r w:rsidRPr="003F27D8">
        <w:rPr>
          <w:rFonts w:cs="Times New Roman"/>
          <w:i/>
          <w:iCs/>
          <w:noProof/>
          <w:szCs w:val="24"/>
        </w:rPr>
        <w:t>36</w:t>
      </w:r>
      <w:r w:rsidRPr="003F27D8">
        <w:rPr>
          <w:rFonts w:cs="Times New Roman"/>
          <w:noProof/>
          <w:szCs w:val="24"/>
        </w:rPr>
        <w:t>(3), 1–48. https://doi.org/10.18637/jss.v036.i03</w:t>
      </w:r>
    </w:p>
    <w:p w14:paraId="1D2AA03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Viechtbauer, W. (2022). </w:t>
      </w:r>
      <w:r w:rsidRPr="003F27D8">
        <w:rPr>
          <w:rFonts w:cs="Times New Roman"/>
          <w:i/>
          <w:iCs/>
          <w:noProof/>
          <w:szCs w:val="24"/>
        </w:rPr>
        <w:t>Miller (1978)</w:t>
      </w:r>
      <w:r w:rsidRPr="003F27D8">
        <w:rPr>
          <w:rFonts w:cs="Times New Roman"/>
          <w:noProof/>
          <w:szCs w:val="24"/>
        </w:rPr>
        <w:t>. https://www.metafor-project.org/doku.php/analyses:miller1978?s[]=proportion</w:t>
      </w:r>
    </w:p>
    <w:p w14:paraId="0750A5D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3F27D8">
        <w:rPr>
          <w:rFonts w:cs="Times New Roman"/>
          <w:i/>
          <w:iCs/>
          <w:noProof/>
          <w:szCs w:val="24"/>
        </w:rPr>
        <w:t>BMC Medical Research Methodology</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(1), 132. https://doi.org/10.1186/s12874-019-0782-0</w:t>
      </w:r>
    </w:p>
    <w:p w14:paraId="3BF7C0E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Wang, Z., Nayfeh, T., Tetzlaff, J., O’Blenis, P., &amp; Murad, M. H. (2020). Error rates of human reviewers during abstract screening in systematic reviews. </w:t>
      </w:r>
      <w:r w:rsidRPr="003F27D8">
        <w:rPr>
          <w:rFonts w:cs="Times New Roman"/>
          <w:i/>
          <w:iCs/>
          <w:noProof/>
          <w:szCs w:val="24"/>
        </w:rPr>
        <w:t>PloS One</w:t>
      </w:r>
      <w:r w:rsidRPr="003F27D8">
        <w:rPr>
          <w:rFonts w:cs="Times New Roman"/>
          <w:noProof/>
          <w:szCs w:val="24"/>
        </w:rPr>
        <w:t xml:space="preserve">, </w:t>
      </w:r>
      <w:r w:rsidRPr="003F27D8">
        <w:rPr>
          <w:rFonts w:cs="Times New Roman"/>
          <w:i/>
          <w:iCs/>
          <w:noProof/>
          <w:szCs w:val="24"/>
        </w:rPr>
        <w:t>15</w:t>
      </w:r>
      <w:r w:rsidRPr="003F27D8">
        <w:rPr>
          <w:rFonts w:cs="Times New Roman"/>
          <w:noProof/>
          <w:szCs w:val="24"/>
        </w:rPr>
        <w:t>(1), e0227742.</w:t>
      </w:r>
    </w:p>
    <w:p w14:paraId="2AAFA7B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rPr>
      </w:pPr>
      <w:r w:rsidRPr="003F27D8">
        <w:rPr>
          <w:rFonts w:cs="Times New Roman"/>
          <w:noProof/>
          <w:szCs w:val="24"/>
        </w:rPr>
        <w:t xml:space="preserve">Westgate, M. J. (2019). revtools: An R package to support article screening for evidence synthesis.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312F00" w:rsidRPr="00BD4892" w:rsidRDefault="00312F00">
      <w:pPr>
        <w:pStyle w:val="CommentText"/>
        <w:rPr>
          <w:lang w:val="en-US"/>
        </w:rPr>
      </w:pPr>
      <w:r>
        <w:rPr>
          <w:rStyle w:val="CommentReference"/>
        </w:rPr>
        <w:annotationRef/>
      </w:r>
      <w:r w:rsidRPr="00BD4892">
        <w:rPr>
          <w:lang w:val="en-US"/>
        </w:rPr>
        <w:t>Consider if this should be a separate section 4</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5B01D" w14:textId="77777777" w:rsidR="002107F6" w:rsidRDefault="002107F6" w:rsidP="00E22B11">
      <w:pPr>
        <w:spacing w:after="0" w:line="240" w:lineRule="auto"/>
      </w:pPr>
      <w:r>
        <w:separator/>
      </w:r>
    </w:p>
  </w:endnote>
  <w:endnote w:type="continuationSeparator" w:id="0">
    <w:p w14:paraId="414C53A6" w14:textId="77777777" w:rsidR="002107F6" w:rsidRDefault="002107F6"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854C8" w14:textId="77777777" w:rsidR="002107F6" w:rsidRDefault="002107F6" w:rsidP="00E22B11">
      <w:pPr>
        <w:spacing w:after="0" w:line="240" w:lineRule="auto"/>
      </w:pPr>
      <w:r>
        <w:separator/>
      </w:r>
    </w:p>
  </w:footnote>
  <w:footnote w:type="continuationSeparator" w:id="0">
    <w:p w14:paraId="611EF791" w14:textId="77777777" w:rsidR="002107F6" w:rsidRDefault="002107F6" w:rsidP="00E22B11">
      <w:pPr>
        <w:spacing w:after="0" w:line="240" w:lineRule="auto"/>
      </w:pPr>
      <w:r>
        <w:continuationSeparator/>
      </w:r>
    </w:p>
  </w:footnote>
  <w:footnote w:id="1">
    <w:p w14:paraId="5E576E28" w14:textId="23F21CD4"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312F00" w:rsidRPr="007332FC" w:rsidRDefault="00312F00">
      <w:pPr>
        <w:pStyle w:val="FootnoteText"/>
        <w:rPr>
          <w:lang w:val="en-US"/>
        </w:rPr>
      </w:pPr>
      <w:r w:rsidRPr="000D35BD">
        <w:rPr>
          <w:rStyle w:val="FootnoteReference"/>
        </w:rPr>
        <w:footnoteRef/>
      </w:r>
      <w:r w:rsidRPr="007332FC">
        <w:rPr>
          <w:lang w:val="en-US"/>
        </w:rPr>
        <w:t xml:space="preserve"> We do not consider the level 4 of automation to be the ideal case since we consider human-in-the-loop operation to be state-of-the-art at the time of writing. </w:t>
      </w:r>
    </w:p>
  </w:footnote>
  <w:footnote w:id="4">
    <w:p w14:paraId="59739032" w14:textId="2A11A52E"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wFAK0vWPM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7FF"/>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4A3E"/>
    <w:rsid w:val="000F506E"/>
    <w:rsid w:val="000F56A9"/>
    <w:rsid w:val="000F7404"/>
    <w:rsid w:val="00107C28"/>
    <w:rsid w:val="00112AC7"/>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4C3D"/>
    <w:rsid w:val="0023520D"/>
    <w:rsid w:val="0023752B"/>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3D5E"/>
    <w:rsid w:val="0042469A"/>
    <w:rsid w:val="004309CD"/>
    <w:rsid w:val="00430E43"/>
    <w:rsid w:val="004315B1"/>
    <w:rsid w:val="00433818"/>
    <w:rsid w:val="00441345"/>
    <w:rsid w:val="004457FD"/>
    <w:rsid w:val="00447BAE"/>
    <w:rsid w:val="0045186C"/>
    <w:rsid w:val="0045594F"/>
    <w:rsid w:val="00456430"/>
    <w:rsid w:val="00462549"/>
    <w:rsid w:val="004643D6"/>
    <w:rsid w:val="004650C4"/>
    <w:rsid w:val="00466B16"/>
    <w:rsid w:val="00467E10"/>
    <w:rsid w:val="0047024E"/>
    <w:rsid w:val="0047364A"/>
    <w:rsid w:val="00474195"/>
    <w:rsid w:val="00476BB4"/>
    <w:rsid w:val="004808CD"/>
    <w:rsid w:val="00487B81"/>
    <w:rsid w:val="00495581"/>
    <w:rsid w:val="00495C59"/>
    <w:rsid w:val="00496CC9"/>
    <w:rsid w:val="00497B8E"/>
    <w:rsid w:val="004A13C6"/>
    <w:rsid w:val="004A6777"/>
    <w:rsid w:val="004B04C7"/>
    <w:rsid w:val="004B23A9"/>
    <w:rsid w:val="004B3496"/>
    <w:rsid w:val="004B4ED8"/>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33A41"/>
    <w:rsid w:val="006417A3"/>
    <w:rsid w:val="00642E49"/>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E7ED6"/>
    <w:rsid w:val="007F39CF"/>
    <w:rsid w:val="007F4727"/>
    <w:rsid w:val="007F58AE"/>
    <w:rsid w:val="007F59B4"/>
    <w:rsid w:val="007F5CA3"/>
    <w:rsid w:val="007F6ABA"/>
    <w:rsid w:val="007F70E2"/>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1D8C"/>
    <w:rsid w:val="008A385E"/>
    <w:rsid w:val="008A477D"/>
    <w:rsid w:val="008A5716"/>
    <w:rsid w:val="008B2076"/>
    <w:rsid w:val="008B330E"/>
    <w:rsid w:val="008B43CA"/>
    <w:rsid w:val="008B5C84"/>
    <w:rsid w:val="008B6AF6"/>
    <w:rsid w:val="008C2A18"/>
    <w:rsid w:val="008C3F74"/>
    <w:rsid w:val="008C5665"/>
    <w:rsid w:val="008C75EF"/>
    <w:rsid w:val="008C7FAA"/>
    <w:rsid w:val="008D1972"/>
    <w:rsid w:val="008D1FE3"/>
    <w:rsid w:val="008D2DD9"/>
    <w:rsid w:val="008D307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7EF"/>
    <w:rsid w:val="00CF7953"/>
    <w:rsid w:val="00D0040B"/>
    <w:rsid w:val="00D027A4"/>
    <w:rsid w:val="00D02FC4"/>
    <w:rsid w:val="00D04DB3"/>
    <w:rsid w:val="00D04E6F"/>
    <w:rsid w:val="00D067F9"/>
    <w:rsid w:val="00D06CB7"/>
    <w:rsid w:val="00D10144"/>
    <w:rsid w:val="00D20C2F"/>
    <w:rsid w:val="00D22172"/>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1FF3"/>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26E5"/>
    <w:rsid w:val="00E74715"/>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E2"/>
    <w:rsid w:val="00FD6AC7"/>
    <w:rsid w:val="00FE2947"/>
    <w:rsid w:val="00FE4EA1"/>
    <w:rsid w:val="00FE5D2F"/>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165EA-1C1B-49A3-90F7-C835BB3F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10895</TotalTime>
  <Pages>51</Pages>
  <Words>57627</Words>
  <Characters>328477</Characters>
  <Application>Microsoft Office Word</Application>
  <DocSecurity>0</DocSecurity>
  <Lines>2737</Lines>
  <Paragraphs>770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385334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1250</cp:revision>
  <cp:lastPrinted>2024-06-25T12:12:00Z</cp:lastPrinted>
  <dcterms:created xsi:type="dcterms:W3CDTF">2023-11-14T09:26:00Z</dcterms:created>
  <dcterms:modified xsi:type="dcterms:W3CDTF">2024-07-02T10:15:00Z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http://www.zotero.org/styles/american-medical-association</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