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21D4E014"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5E6F37A7" w:rsidR="00950F4A" w:rsidRDefault="001A4320" w:rsidP="006F63D8">
      <w:pPr>
        <w:spacing w:after="0" w:line="360" w:lineRule="auto"/>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accpeted</w:t>
      </w:r>
      <w:r w:rsidR="00DE62DD">
        <w:rPr>
          <w:lang w:val="en-US"/>
        </w:rPr>
        <w:t xml:space="preserve"> as independent second screeners within 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this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Pr>
          <w:rStyle w:val="FootnoteReference"/>
          <w:lang w:val="en-US"/>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40BAD8A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 xml:space="preserve">automated screening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2D7996DB"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Pr>
          <w:rStyle w:val="FootnoteReference"/>
          <w:rFonts w:cs="Times New Roman"/>
          <w:szCs w:val="24"/>
          <w:lang w:val="en-US"/>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8E4A35">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 Olofsson et al., 2017)","plainTextFormattedCitation":"(O’Connor et al., 2019; Olofsson et al., 2017)","previouslyFormattedCitation":"(O’Connor et al., 2019; Olofsson et al., 2017)"},"properties":{"noteIndex":0},"schema":"https://github.com/citation-style-language/schema/raw/master/csl-citation.json"}</w:instrText>
      </w:r>
      <w:r w:rsidR="00806F5B">
        <w:rPr>
          <w:rFonts w:cs="Times New Roman"/>
          <w:szCs w:val="24"/>
          <w:lang w:val="en-US"/>
        </w:rPr>
        <w:fldChar w:fldCharType="separate"/>
      </w:r>
      <w:r w:rsidR="00806F5B" w:rsidRPr="00806F5B">
        <w:rPr>
          <w:rFonts w:cs="Times New Roman"/>
          <w:noProof/>
          <w:szCs w:val="24"/>
          <w:lang w:val="en-US"/>
        </w:rPr>
        <w:t>(O’Connor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77777777" w:rsidR="00D06CB7" w:rsidRPr="00D06CB7" w:rsidRDefault="00D06CB7" w:rsidP="006F63D8">
      <w:pPr>
        <w:autoSpaceDE w:val="0"/>
        <w:autoSpaceDN w:val="0"/>
        <w:adjustRightInd w:val="0"/>
        <w:spacing w:after="0" w:line="360" w:lineRule="auto"/>
        <w:jc w:val="both"/>
        <w:rPr>
          <w:rFonts w:cs="Times New Roman"/>
          <w:sz w:val="36"/>
          <w:szCs w:val="24"/>
          <w:lang w:val="en-US"/>
        </w:rPr>
      </w:pPr>
      <w:r w:rsidRPr="00D06CB7">
        <w:rPr>
          <w:rFonts w:cs="Times New Roman"/>
          <w:b/>
          <w:szCs w:val="24"/>
          <w:lang w:val="en-US"/>
        </w:rPr>
        <w:t>Table 1.</w:t>
      </w:r>
      <w:r w:rsidRPr="00D06CB7">
        <w:rPr>
          <w:rFonts w:cs="Times New Roman"/>
          <w:szCs w:val="24"/>
          <w:lang w:val="en-US"/>
        </w:rPr>
        <w:t xml:space="preserve"> </w:t>
      </w:r>
      <w:r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7332FC"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7332FC"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7332FC"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Pr>
          <w:rStyle w:val="FootnoteReference"/>
          <w:rFonts w:cs="Times New Roman"/>
          <w:szCs w:val="24"/>
          <w:lang w:val="en-US"/>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Pr>
          <w:rStyle w:val="FootnoteReference"/>
          <w:rFonts w:cs="Times New Roman"/>
          <w:szCs w:val="24"/>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0BEBF637"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 xml:space="preserve">of the GPT API models. </w:t>
      </w:r>
      <w:r w:rsidR="00441345">
        <w:rPr>
          <w:lang w:val="en-US"/>
        </w:rPr>
        <w:t xml:space="preserve">In </w:t>
      </w:r>
      <w:r w:rsidR="00B030B9">
        <w:rPr>
          <w:lang w:val="en-US"/>
        </w:rPr>
        <w:t>Section 4</w:t>
      </w:r>
      <w:r w:rsidR="00441345">
        <w:rPr>
          <w:lang w:val="en-US"/>
        </w:rPr>
        <w:t>, we</w:t>
      </w:r>
      <w:r w:rsidR="00B030B9">
        <w:rPr>
          <w:lang w:val="en-US"/>
        </w:rPr>
        <w:t xml:space="preserve"> </w:t>
      </w:r>
      <w:r w:rsidR="00495C59">
        <w:rPr>
          <w:lang w:val="en-US"/>
        </w:rPr>
        <w:t>sketch our used prompt engineering</w:t>
      </w:r>
      <w:r w:rsidR="00B030B9">
        <w:rPr>
          <w:lang w:val="en-US"/>
        </w:rPr>
        <w:t xml:space="preserve"> </w:t>
      </w:r>
      <w:r w:rsidR="00495C59">
        <w:rPr>
          <w:lang w:val="en-US"/>
        </w:rPr>
        <w:t>and how we think</w:t>
      </w:r>
      <w:r w:rsidR="00B030B9">
        <w:rPr>
          <w:lang w:val="en-US"/>
        </w:rPr>
        <w:t xml:space="preserve"> </w:t>
      </w:r>
      <w:r w:rsidR="00495C59">
        <w:rPr>
          <w:lang w:val="en-US"/>
        </w:rPr>
        <w:t xml:space="preserve">reliable </w:t>
      </w:r>
      <w:r w:rsidR="00B030B9">
        <w:rPr>
          <w:lang w:val="en-US"/>
        </w:rPr>
        <w:t>prompts can be</w:t>
      </w:r>
      <w:r w:rsidR="00495C59">
        <w:rPr>
          <w:lang w:val="en-US"/>
        </w:rPr>
        <w:t xml:space="preserve"> developed</w:t>
      </w:r>
      <w:r w:rsidR="00DC7C60">
        <w:rPr>
          <w:lang w:val="en-US"/>
        </w:rPr>
        <w:t xml:space="preserve">. </w:t>
      </w:r>
      <w:r w:rsidR="005F5FAC">
        <w:rPr>
          <w:lang w:val="en-US"/>
        </w:rPr>
        <w:t>In this regard,</w:t>
      </w:r>
      <w:r w:rsidR="00DC7C60">
        <w:rPr>
          <w:lang w:val="en-US"/>
        </w:rPr>
        <w:t xml:space="preserve"> we also describe</w:t>
      </w:r>
      <w:r w:rsidR="00441345">
        <w:rPr>
          <w:lang w:val="en-US"/>
        </w:rPr>
        <w:t xml:space="preserve"> </w:t>
      </w:r>
      <w:r w:rsidR="00495C59">
        <w:rPr>
          <w:lang w:val="en-US"/>
        </w:rPr>
        <w:t xml:space="preserve">in more detail </w:t>
      </w:r>
      <w:r w:rsidR="00441345">
        <w:rPr>
          <w:lang w:val="en-US"/>
        </w:rPr>
        <w:t>the advance of using function calling with the GPT API models</w:t>
      </w:r>
      <w:r w:rsidR="005F5FAC">
        <w:rPr>
          <w:lang w:val="en-US"/>
        </w:rPr>
        <w:t xml:space="preserve"> to ensure reliable </w:t>
      </w:r>
      <w:r w:rsidR="00CF4C27">
        <w:rPr>
          <w:lang w:val="en-US"/>
        </w:rPr>
        <w:t>response</w:t>
      </w:r>
      <w:r w:rsidR="005F5FAC">
        <w:rPr>
          <w:lang w:val="en-US"/>
        </w:rPr>
        <w:t xml:space="preserve"> messages</w:t>
      </w:r>
      <w:r w:rsidR="00B030B9">
        <w:rPr>
          <w:lang w:val="en-US"/>
        </w:rPr>
        <w:t xml:space="preserve">. </w:t>
      </w:r>
      <w:r w:rsidR="00A4653A">
        <w:rPr>
          <w:lang w:val="en-US"/>
        </w:rPr>
        <w:t>In Section 5</w:t>
      </w:r>
      <w:r w:rsidR="00826945">
        <w:rPr>
          <w:lang w:val="en-US"/>
        </w:rPr>
        <w:t>,</w:t>
      </w:r>
      <w:r w:rsidR="00A4653A">
        <w:rPr>
          <w:lang w:val="en-US"/>
        </w:rPr>
        <w:t xml:space="preserve"> we present the data used to conduct </w:t>
      </w:r>
      <w:r w:rsidR="00C57118">
        <w:rPr>
          <w:lang w:val="en-US"/>
        </w:rPr>
        <w:t xml:space="preserve">the two large-scale classifier experiments and the results </w:t>
      </w:r>
      <w:r w:rsidR="00826945">
        <w:rPr>
          <w:lang w:val="en-US"/>
        </w:rPr>
        <w:t>of these experiments</w:t>
      </w:r>
      <w:r w:rsidR="00C57118">
        <w:rPr>
          <w:lang w:val="en-US"/>
        </w:rPr>
        <w:t>. In section 6,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 xml:space="preserve">second screener. </w:t>
      </w:r>
      <w:r w:rsidR="005F5FAC">
        <w:rPr>
          <w:lang w:val="en-US"/>
        </w:rPr>
        <w:t>Finally, in</w:t>
      </w:r>
      <w:r w:rsidR="00C57118">
        <w:rPr>
          <w:lang w:val="en-US"/>
        </w:rPr>
        <w:t xml:space="preserve"> Sections 7 to 9,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Pr>
          <w:rStyle w:val="FootnoteReference"/>
          <w:lang w:val="en-US"/>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Pr>
          <w:rStyle w:val="FootnoteReference"/>
          <w:lang w:val="en-US"/>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7332FC">
        <w:t xml:space="preserve">Gargari et al. </w:t>
      </w:r>
      <w:r>
        <w:rPr>
          <w:lang w:val="en-US"/>
        </w:rPr>
        <w:fldChar w:fldCharType="begin" w:fldLock="1"/>
      </w:r>
      <w:r w:rsidR="005374FF" w:rsidRPr="007332F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7332FC">
        <w:rPr>
          <w:noProof/>
        </w:rPr>
        <w:t>(2024)</w:t>
      </w:r>
      <w:r>
        <w:rPr>
          <w:lang w:val="en-US"/>
        </w:rPr>
        <w:fldChar w:fldCharType="end"/>
      </w:r>
      <w:r w:rsidRPr="007332FC">
        <w:t xml:space="preserve"> </w:t>
      </w:r>
      <w:r w:rsidR="00DC3EC6" w:rsidRPr="007332FC">
        <w:t xml:space="preserve">applied the GPT-3.5-turbo-0613 API model to conduct TAB screening in one clinical systematic review. </w:t>
      </w:r>
      <w:r w:rsidR="00DC3EC6">
        <w:rPr>
          <w:lang w:val="en-US"/>
        </w:rPr>
        <w:t xml:space="preserve">In line with </w:t>
      </w:r>
      <w:r w:rsidR="00DC3EC6" w:rsidRPr="007340E8">
        <w:t xml:space="preserve">Guo et al. </w:t>
      </w:r>
      <w:r w:rsidR="00DC3EC6">
        <w:rPr>
          <w:lang w:val="en-US"/>
        </w:rPr>
        <w:fldChar w:fldCharType="begin" w:fldLock="1"/>
      </w:r>
      <w:r w:rsidR="00DC3EC6"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Pr>
          <w:rStyle w:val="FootnoteReference"/>
          <w:lang w:val="en-US"/>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lastRenderedPageBreak/>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3138AB4D" w:rsidR="003B4C84" w:rsidRDefault="00DA5E2D" w:rsidP="00542711">
      <w:pPr>
        <w:spacing w:after="0" w:line="360" w:lineRule="auto"/>
        <w:jc w:val="both"/>
        <w:rPr>
          <w:lang w:val="en-US"/>
        </w:rPr>
      </w:pPr>
      <w:r>
        <w:rPr>
          <w:lang w:val="en-US"/>
        </w:rPr>
        <w:t>In this paper, we go</w:t>
      </w:r>
      <w:r w:rsidR="00542711">
        <w:rPr>
          <w:lang w:val="en-US"/>
        </w:rPr>
        <w:t xml:space="preserve"> beyond the above-mentioned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E47EE7C"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Pr>
          <w:lang w:val="en-US"/>
        </w:rPr>
        <w:t>function calling</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39413B">
        <w:rPr>
          <w:lang w:val="en-US"/>
        </w:rPr>
        <w:t xml:space="preserve">of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5545719" w:rsidR="003B4C84" w:rsidRDefault="003B4C84" w:rsidP="00542711">
      <w:pPr>
        <w:spacing w:after="0" w:line="360" w:lineRule="auto"/>
        <w:jc w:val="both"/>
        <w:rPr>
          <w:lang w:val="en-US"/>
        </w:rPr>
      </w:pPr>
      <w:r>
        <w:rPr>
          <w:lang w:val="en-US"/>
        </w:rPr>
        <w:tab/>
        <w:t xml:space="preserve">The main difference between this paper and the previous evaluation is that we aim to make a standardized and user-friendly workflow for how to use GPT API models for TAB screening that are easy to implement in </w:t>
      </w:r>
      <w:r w:rsidR="00C36576">
        <w:rPr>
          <w:lang w:val="en-US"/>
        </w:rPr>
        <w:t xml:space="preserve">large-scale </w:t>
      </w:r>
      <w:r>
        <w:rPr>
          <w:lang w:val="en-US"/>
        </w:rPr>
        <w:t xml:space="preserve">systematic reviews. We do so by developing the AIscreenR </w:t>
      </w:r>
      <w:r>
        <w:rPr>
          <w:lang w:val="en-US"/>
        </w:rPr>
        <w:lastRenderedPageBreak/>
        <w:t xml:space="preserve">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B11F8C">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B11F8C">
        <w:rPr>
          <w:noProof/>
          <w:lang w:val="en-US"/>
        </w:rPr>
        <w:t>(2024)</w:t>
      </w:r>
      <w:r w:rsidR="005374FF">
        <w:rPr>
          <w:lang w:val="en-US"/>
        </w:rPr>
        <w:fldChar w:fldCharType="end"/>
      </w:r>
      <w:r w:rsidR="005374FF" w:rsidRPr="00B11F8C">
        <w:rPr>
          <w:lang w:val="en-US"/>
        </w:rPr>
        <w:t xml:space="preserve"> sugges</w:t>
      </w:r>
      <w:r w:rsidRPr="00B11F8C">
        <w:rPr>
          <w:lang w:val="en-US"/>
        </w:rPr>
        <w:t>ted</w:t>
      </w:r>
      <w:r w:rsidR="005374FF" w:rsidRPr="00B11F8C">
        <w:rPr>
          <w:lang w:val="en-US"/>
        </w:rPr>
        <w:t xml:space="preserve"> that </w:t>
      </w:r>
      <w:r w:rsidR="006D57CE" w:rsidRPr="00B11F8C">
        <w:rPr>
          <w:lang w:val="en-US"/>
        </w:rPr>
        <w:t xml:space="preserve">broader </w:t>
      </w:r>
      <w:r w:rsidR="005374FF" w:rsidRPr="00B11F8C">
        <w:rPr>
          <w:lang w:val="en-US"/>
        </w:rPr>
        <w:t xml:space="preserve">and </w:t>
      </w:r>
      <w:r w:rsidRPr="00B11F8C">
        <w:rPr>
          <w:lang w:val="en-US"/>
        </w:rPr>
        <w:t>less specific</w:t>
      </w:r>
      <w:r w:rsidR="005374FF" w:rsidRPr="00B11F8C">
        <w:rPr>
          <w:lang w:val="en-US"/>
        </w:rPr>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3353C07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discrepancy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m:t>
                </m:r>
                <m:r>
                  <w:rPr>
                    <w:rFonts w:ascii="Cambria Math" w:hAnsi="Cambria Math"/>
                    <w:lang w:val="en-US"/>
                  </w:rPr>
                  <m:t>all</m:t>
                </m:r>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2C1BA06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Pr="00C43AB0">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633C4F7"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 xml:space="preserve">specificity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m:t>
                </m:r>
                <m:r>
                  <w:rPr>
                    <w:rFonts w:ascii="Cambria Math" w:eastAsiaTheme="minorEastAsia" w:hAnsi="Cambria Math"/>
                    <w:lang w:val="en-US"/>
                  </w:rPr>
                  <m:t>ificity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B9FC64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2</w:t>
            </w:r>
            <w:r w:rsidRPr="00C43AB0">
              <w:rPr>
                <w:i w:val="0"/>
                <w:color w:val="auto"/>
                <w:sz w:val="24"/>
              </w:rPr>
              <w:fldChar w:fldCharType="end"/>
            </w:r>
            <w:r w:rsidRPr="00C43AB0">
              <w:rPr>
                <w:i w:val="0"/>
                <w:color w:val="auto"/>
                <w:sz w:val="24"/>
              </w:rPr>
              <w:t>)</w:t>
            </w:r>
          </w:p>
        </w:tc>
      </w:tr>
    </w:tbl>
    <w:p w14:paraId="749CF1D0" w14:textId="14807AA9"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 </w:t>
      </w:r>
      <w:r>
        <w:rPr>
          <w:rFonts w:eastAsiaTheme="minorEastAsia"/>
          <w:lang w:val="en-US"/>
        </w:rPr>
        <w:t xml:space="preserve">This goes without saying that reviewers should accept low specificity rates. We will come back to that in the following sections.  </w:t>
      </w:r>
    </w:p>
    <w:p w14:paraId="662A0424" w14:textId="3EF14DA9" w:rsidR="00A529FE" w:rsidRDefault="00A529FE" w:rsidP="00A529FE">
      <w:pPr>
        <w:spacing w:after="0" w:line="360" w:lineRule="auto"/>
        <w:ind w:firstLine="1304"/>
        <w:jc w:val="both"/>
        <w:rPr>
          <w:rFonts w:eastAsiaTheme="minorEastAsia"/>
          <w:lang w:val="en-US"/>
        </w:rPr>
      </w:pPr>
      <w:r>
        <w:rPr>
          <w:rFonts w:eastAsiaTheme="minorEastAsia"/>
          <w:lang w:val="en-US"/>
        </w:rPr>
        <w:lastRenderedPageBreak/>
        <w:t xml:space="preserve">In our </w:t>
      </w:r>
      <w:r>
        <w:rPr>
          <w:rFonts w:eastAsiaTheme="minorEastAsia"/>
          <w:lang w:val="en-US"/>
        </w:rPr>
        <w:t>classifier experiment</w:t>
      </w:r>
      <w:r>
        <w:rPr>
          <w:rFonts w:eastAsiaTheme="minorEastAsia"/>
          <w:lang w:val="en-US"/>
        </w:rPr>
        <w:t xml:space="preserve">,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t>
      </w:r>
      <w:r>
        <w:rPr>
          <w:rFonts w:eastAsiaTheme="minorEastAsia"/>
          <w:lang w:val="en-US"/>
        </w:rPr>
        <w:t>were</w:t>
      </w:r>
      <w:r>
        <w:rPr>
          <w:rFonts w:eastAsiaTheme="minorEastAsia"/>
          <w:lang w:val="en-US"/>
        </w:rPr>
        <w:t xml:space="preserv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43F5B2D8" w14:textId="5A829F5F" w:rsidR="00C77380" w:rsidRDefault="00C43AB0" w:rsidP="008120A4">
      <w:pPr>
        <w:spacing w:after="0" w:line="360" w:lineRule="auto"/>
        <w:jc w:val="both"/>
        <w:rPr>
          <w:rFonts w:eastAsiaTheme="minorEastAsia"/>
          <w:lang w:val="en-US"/>
        </w:rPr>
      </w:pPr>
      <w:r>
        <w:rPr>
          <w:rFonts w:eastAsiaTheme="minorEastAsia"/>
          <w:lang w:val="en-US"/>
        </w:rPr>
        <w:tab/>
      </w:r>
      <w:r w:rsidR="00A4058B">
        <w:rPr>
          <w:rFonts w:eastAsiaTheme="minorEastAsia"/>
          <w:lang w:val="en-US"/>
        </w:rPr>
        <w:t>The</w:t>
      </w:r>
      <w:r>
        <w:rPr>
          <w:rFonts w:eastAsiaTheme="minorEastAsia"/>
          <w:lang w:val="en-US"/>
        </w:rPr>
        <w:t xml:space="preserve"> </w:t>
      </w:r>
      <w:r w:rsidR="00A4058B">
        <w:rPr>
          <w:rFonts w:eastAsiaTheme="minorEastAsia"/>
          <w:lang w:val="en-US"/>
        </w:rPr>
        <w:t>two</w:t>
      </w:r>
      <w:r>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sidR="00A4058B">
        <w:rPr>
          <w:rFonts w:eastAsiaTheme="minorEastAsia"/>
          <w:lang w:val="en-US"/>
        </w:rPr>
        <w:t xml:space="preserve">the proportion of </w:t>
      </w:r>
      <w:r>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sidR="00A4058B">
        <w:rPr>
          <w:rFonts w:eastAsiaTheme="minorEastAsia"/>
          <w:lang w:val="en-US"/>
        </w:rPr>
        <w:t>could end up</w:t>
      </w:r>
      <w:r>
        <w:rPr>
          <w:rFonts w:eastAsiaTheme="minorEastAsia"/>
          <w:lang w:val="en-US"/>
        </w:rPr>
        <w:t xml:space="preserve"> </w:t>
      </w:r>
      <w:r w:rsidR="00A4058B">
        <w:rPr>
          <w:rFonts w:eastAsiaTheme="minorEastAsia"/>
          <w:lang w:val="en-US"/>
        </w:rPr>
        <w:t>reaching</w:t>
      </w:r>
      <w:r>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A4058B">
        <w:rPr>
          <w:rFonts w:eastAsiaTheme="minorEastAsia"/>
          <w:lang w:val="en-US"/>
        </w:rPr>
        <w:t xml:space="preserve">clearly </w:t>
      </w:r>
      <w:r w:rsidR="005C01DD">
        <w:rPr>
          <w:rFonts w:eastAsiaTheme="minorEastAsia"/>
          <w:lang w:val="en-US"/>
        </w:rPr>
        <w:t xml:space="preserve">hides the fact that </w:t>
      </w:r>
      <w:r>
        <w:rPr>
          <w:rFonts w:eastAsiaTheme="minorEastAsia"/>
          <w:lang w:val="en-US"/>
        </w:rPr>
        <w:t>the given screener was unable to detect any relevant studies. To overcome this issue, we used two overall metrics</w:t>
      </w:r>
      <w:r w:rsidR="00A4058B">
        <w:rPr>
          <w:rFonts w:eastAsiaTheme="minorEastAsia"/>
          <w:lang w:val="en-US"/>
        </w:rPr>
        <w:t xml:space="preserve"> that account for imbalances</w:t>
      </w:r>
      <w:r w:rsidR="00A4058B">
        <w:rPr>
          <w:rFonts w:eastAsiaTheme="minorEastAsia"/>
          <w:i/>
          <w:lang w:val="en-US"/>
        </w:rPr>
        <w:t xml:space="preserve">. </w:t>
      </w:r>
      <w:r w:rsidR="00A4058B">
        <w:rPr>
          <w:rFonts w:eastAsiaTheme="minorEastAsia"/>
          <w:lang w:val="en-US"/>
        </w:rPr>
        <w:t>That is</w:t>
      </w:r>
      <w:r w:rsidRPr="005C01DD">
        <w:rPr>
          <w:rFonts w:eastAsiaTheme="minorEastAsia"/>
          <w:i/>
          <w:lang w:val="en-US"/>
        </w:rPr>
        <w:t xml:space="preserve"> the balanced accuracy</w:t>
      </w:r>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w:t>
      </w:r>
      <w:r w:rsidRPr="005C01DD">
        <w:rPr>
          <w:rFonts w:eastAsiaTheme="minorEastAsia"/>
          <w:i/>
          <w:lang w:val="en-US"/>
        </w:rPr>
        <w:t xml:space="preserve">the </w:t>
      </w:r>
      <w:r w:rsidR="00BD65EB">
        <w:rPr>
          <w:rFonts w:eastAsiaTheme="minorEastAsia"/>
          <w:i/>
          <w:lang w:val="en-US"/>
        </w:rPr>
        <w:t>normalized</w:t>
      </w:r>
      <w:r w:rsidRPr="005C01DD">
        <w:rPr>
          <w:rFonts w:eastAsiaTheme="minorEastAsia"/>
          <w:i/>
          <w:lang w:val="en-US"/>
        </w:rPr>
        <w:t xml:space="preserve"> Matthew correlation coefficient</w:t>
      </w:r>
      <w:r>
        <w:rPr>
          <w:rFonts w:eastAsiaTheme="minorEastAsia"/>
          <w:lang w:val="en-US"/>
        </w:rPr>
        <w:t xml:space="preserve"> </w:t>
      </w:r>
      <m:oMath>
        <m:r>
          <w:rPr>
            <w:rFonts w:ascii="Cambria Math" w:eastAsiaTheme="minorEastAsia" w:hAnsi="Cambria Math"/>
            <w:lang w:val="en-US"/>
          </w:rPr>
          <m:t>(nMCC)</m:t>
        </m:r>
      </m:oMath>
      <w:r>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A4058B">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44DEABE"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10CF053"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 maximized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xml:space="preserve">. </w:t>
      </w:r>
      <w:r>
        <w:rPr>
          <w:rFonts w:eastAsiaTheme="minorEastAsia"/>
          <w:lang w:val="en-US"/>
        </w:rPr>
        <w:t>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3CC39F4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4</w:t>
            </w:r>
            <w:r w:rsidRPr="00C43AB0">
              <w:rPr>
                <w:i w:val="0"/>
                <w:color w:val="auto"/>
                <w:sz w:val="24"/>
              </w:rPr>
              <w:fldChar w:fldCharType="end"/>
            </w:r>
            <w:r w:rsidRPr="00C43AB0">
              <w:rPr>
                <w:i w:val="0"/>
                <w:color w:val="auto"/>
                <w:sz w:val="24"/>
              </w:rPr>
              <w:t>)</w:t>
            </w:r>
          </w:p>
        </w:tc>
      </w:tr>
    </w:tbl>
    <w:p w14:paraId="0B6EC8D5" w14:textId="77777777" w:rsidR="007332FC" w:rsidRDefault="007332FC" w:rsidP="008120A4">
      <w:pPr>
        <w:spacing w:after="0" w:line="360" w:lineRule="auto"/>
        <w:jc w:val="both"/>
        <w:rPr>
          <w:rFonts w:eastAsiaTheme="minorEastAsia"/>
          <w:lang w:val="en-US"/>
        </w:rPr>
      </w:pPr>
    </w:p>
    <w:p w14:paraId="4B6F65A8" w14:textId="4E3C8919" w:rsidR="00BD65EB" w:rsidRPr="00BD65EB" w:rsidRDefault="00BD65EB" w:rsidP="00BD65EB">
      <w:pPr>
        <w:spacing w:after="0" w:line="360" w:lineRule="auto"/>
        <w:ind w:firstLine="1304"/>
        <w:jc w:val="both"/>
        <w:rPr>
          <w:lang w:val="en-US"/>
        </w:rPr>
      </w:pPr>
      <w:r>
        <w:rPr>
          <w:lang w:val="en-US"/>
        </w:rPr>
        <w:t xml:space="preserve">To develop an empirical screening performance benchmark scheme to which screening performances can be compared, we used the metrics presented in Equations (1) to (4). When working with proportion metrics such as the ones presented in Equations (1) to (3), it is usually advantageous </w:t>
      </w:r>
      <w:r>
        <w:rPr>
          <w:lang w:val="en-US"/>
        </w:rPr>
        <w:lastRenderedPageBreak/>
        <w:t xml:space="preserve">to transform these metrics into measures that have more appropriate statistical properties. This includes having a sampling distribution </w:t>
      </w:r>
      <w:r>
        <w:rPr>
          <w:lang w:val="en-US"/>
        </w:rPr>
        <w:t xml:space="preserve">that </w:t>
      </w:r>
      <w:r>
        <w:rPr>
          <w:lang w:val="en-US"/>
        </w:rPr>
        <w:t xml:space="preserve">more closely mirrors a normal distribution and variance components that can more reliably be approximated </w:t>
      </w:r>
      <w:r>
        <w:rPr>
          <w:lang w:val="en-US"/>
        </w:rPr>
        <w:fldChar w:fldCharType="begin" w:fldLock="1"/>
      </w:r>
      <w:r>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Pr>
          <w:lang w:val="en-US"/>
        </w:rPr>
        <w:fldChar w:fldCharType="separate"/>
      </w:r>
      <w:r w:rsidRPr="00C43AB0">
        <w:rPr>
          <w:noProof/>
          <w:lang w:val="en-US"/>
        </w:rPr>
        <w:t>(Viechtbauer, 2022)</w:t>
      </w:r>
      <w:r>
        <w:rPr>
          <w:lang w:val="en-US"/>
        </w:rPr>
        <w:fldChar w:fldCharType="end"/>
      </w:r>
      <w:r>
        <w:rPr>
          <w:lang w:val="en-US"/>
        </w:rPr>
        <w:t xml:space="preserve">. </w:t>
      </w:r>
      <w:r w:rsidR="00A4058B">
        <w:rPr>
          <w:lang w:val="en-US"/>
        </w:rPr>
        <w:t>Therefore</w:t>
      </w:r>
      <w:r>
        <w:rPr>
          <w:lang w:val="en-US"/>
        </w:rPr>
        <w:t xml:space="preserve">, we used the arcsine transformation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lang w:val="en-US"/>
        </w:rPr>
        <w:t xml:space="preserve"> to calculate sampling variance and confidence intervals for the recall, specificity, and balanced accuracy metrics. For the balanced accuracy metric, we calculated the sampling variance of the transformed measure by using the total number of records as the sample size. We did not use double arcsine transformation </w:t>
      </w:r>
      <w:r>
        <w:rPr>
          <w:lang w:val="en-US"/>
        </w:rPr>
        <w:fldChar w:fldCharType="begin" w:fldLock="1"/>
      </w:r>
      <w:r>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Pr>
          <w:lang w:val="en-US"/>
        </w:rPr>
        <w:fldChar w:fldCharType="separate"/>
      </w:r>
      <w:r w:rsidRPr="00C43AB0">
        <w:rPr>
          <w:noProof/>
          <w:lang w:val="en-US"/>
        </w:rPr>
        <w:t>(Doi &amp; Xu, 2021)</w:t>
      </w:r>
      <w:r>
        <w:rPr>
          <w:lang w:val="en-US"/>
        </w:rPr>
        <w:fldChar w:fldCharType="end"/>
      </w:r>
      <w:r>
        <w:rPr>
          <w:lang w:val="en-US"/>
        </w:rPr>
        <w:t xml:space="preserve"> due to the inadequate properties of the back transformation of this measure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rFonts w:eastAsiaTheme="minorEastAsia"/>
          <w:lang w:val="en-US"/>
        </w:rPr>
        <w:t>.</w:t>
      </w:r>
      <w:r>
        <w:rPr>
          <w:rFonts w:eastAsiaTheme="minorEastAsia"/>
          <w:lang w:val="en-US"/>
        </w:rPr>
        <w:t xml:space="preserve"> For the </w:t>
      </w:r>
      <w:r>
        <w:rPr>
          <w:rFonts w:eastAsiaTheme="minorEastAsia"/>
          <w:i/>
          <w:lang w:val="en-US"/>
        </w:rPr>
        <w:t>nMCC</w:t>
      </w:r>
      <w:r>
        <w:rPr>
          <w:rFonts w:eastAsiaTheme="minorEastAsia"/>
          <w:lang w:val="en-US"/>
        </w:rPr>
        <w:t xml:space="preserve"> metric, we calculated the sampling variance and confidence interval by </w:t>
      </w:r>
      <w:r w:rsidR="00A4058B">
        <w:rPr>
          <w:rFonts w:eastAsiaTheme="minorEastAsia"/>
          <w:lang w:val="en-US"/>
        </w:rPr>
        <w:t xml:space="preserve">transforming the correlations </w:t>
      </w:r>
      <w:r>
        <w:rPr>
          <w:rFonts w:eastAsiaTheme="minorEastAsia"/>
          <w:lang w:val="en-US"/>
        </w:rPr>
        <w:t>the Fisher’s z-score</w:t>
      </w:r>
      <w:r w:rsidR="00A4058B">
        <w:rPr>
          <w:rFonts w:eastAsiaTheme="minorEastAsia"/>
          <w:lang w:val="en-US"/>
        </w:rPr>
        <w:t>s</w:t>
      </w:r>
      <w:r>
        <w:rPr>
          <w:rFonts w:eastAsiaTheme="minorEastAsia"/>
          <w:lang w:val="en-US"/>
        </w:rPr>
        <w:t xml:space="preserve"> as typically done in meta-analysis </w:t>
      </w:r>
      <w:r>
        <w:rPr>
          <w:rFonts w:eastAsiaTheme="minorEastAsia"/>
          <w:lang w:val="en-US"/>
        </w:rPr>
        <w:fldChar w:fldCharType="begin" w:fldLock="1"/>
      </w:r>
      <w:r>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2009)"},"properties":{"noteIndex":0},"schema":"https://github.com/citation-style-language/schema/raw/master/csl-citation.json"}</w:instrText>
      </w:r>
      <w:r>
        <w:rPr>
          <w:rFonts w:eastAsiaTheme="minorEastAsia"/>
          <w:lang w:val="en-US"/>
        </w:rPr>
        <w:fldChar w:fldCharType="separate"/>
      </w:r>
      <w:r w:rsidRPr="00BD65EB">
        <w:rPr>
          <w:rFonts w:eastAsiaTheme="minorEastAsia"/>
          <w:noProof/>
          <w:lang w:val="en-US"/>
        </w:rPr>
        <w:t>(Borenstein et al., 2009)</w:t>
      </w:r>
      <w:r>
        <w:rPr>
          <w:rFonts w:eastAsiaTheme="minorEastAsia"/>
          <w:lang w:val="en-US"/>
        </w:rPr>
        <w:fldChar w:fldCharType="end"/>
      </w:r>
    </w:p>
    <w:p w14:paraId="0A95D2AE" w14:textId="101CDEE8" w:rsidR="008E4A35" w:rsidRDefault="008E4A35" w:rsidP="006F63D8">
      <w:pPr>
        <w:autoSpaceDE w:val="0"/>
        <w:autoSpaceDN w:val="0"/>
        <w:adjustRightInd w:val="0"/>
        <w:spacing w:after="0" w:line="360" w:lineRule="auto"/>
        <w:rPr>
          <w:rFonts w:cs="Times New Roman"/>
          <w:color w:val="131413"/>
          <w:szCs w:val="24"/>
        </w:rPr>
      </w:pPr>
    </w:p>
    <w:p w14:paraId="275E0730" w14:textId="7F111A4B" w:rsidR="00C77380" w:rsidRPr="00DD4509" w:rsidRDefault="00DD4509" w:rsidP="006F63D8">
      <w:pPr>
        <w:spacing w:after="0" w:line="360" w:lineRule="auto"/>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36A423C8" w14:textId="440E36AC" w:rsidR="00881112" w:rsidRDefault="00881112" w:rsidP="00C43AB0">
      <w:pPr>
        <w:spacing w:after="0" w:line="360" w:lineRule="auto"/>
        <w:jc w:val="both"/>
        <w:rPr>
          <w:lang w:val="en-US"/>
        </w:rPr>
      </w:pPr>
      <w:r>
        <w:rPr>
          <w:lang w:val="en-US"/>
        </w:rPr>
        <w:t>To understand acceptable human screening performance in high-standard systematic reviews.</w:t>
      </w:r>
    </w:p>
    <w:p w14:paraId="705432EF" w14:textId="1BC56E38" w:rsidR="00AB299A" w:rsidRDefault="00AB299A" w:rsidP="00C43AB0">
      <w:pPr>
        <w:spacing w:after="0" w:line="360" w:lineRule="auto"/>
        <w:jc w:val="both"/>
        <w:rPr>
          <w:lang w:val="en-US"/>
        </w:rPr>
      </w:pPr>
      <w:r>
        <w:rPr>
          <w:lang w:val="en-US"/>
        </w:rPr>
        <w:t>Better content-knowledge but the overstimation might also result from a skew-relationship where the researcher has more power/</w:t>
      </w:r>
      <w:r>
        <w:rPr>
          <w:rStyle w:val="translation"/>
        </w:rPr>
        <w:t>authority</w:t>
      </w:r>
      <w:r>
        <w:rPr>
          <w:rStyle w:val="translation"/>
        </w:rPr>
        <w:t xml:space="preserve"> relative to the student screeners. Consequently use also mapped the screening performance within five review conducted bi NIHU since these review contain content-experxt screeners only. </w:t>
      </w:r>
      <w:bookmarkStart w:id="1" w:name="_GoBack"/>
      <w:bookmarkEnd w:id="1"/>
    </w:p>
    <w:p w14:paraId="09F492BF" w14:textId="1B4B6666" w:rsidR="00A97287" w:rsidRDefault="00A97287" w:rsidP="00C43AB0">
      <w:pPr>
        <w:spacing w:after="0" w:line="360" w:lineRule="auto"/>
        <w:jc w:val="both"/>
        <w:rPr>
          <w:lang w:val="en-US"/>
        </w:rPr>
      </w:pPr>
      <w:r>
        <w:rPr>
          <w:lang w:val="en-US"/>
        </w:rPr>
        <w:t xml:space="preserve">Give us an idea of what human screening performances that are accepted with in evidence institutions such as the Campbell collaboration. </w:t>
      </w:r>
    </w:p>
    <w:p w14:paraId="5D46748F" w14:textId="15E23790" w:rsidR="005A61A3" w:rsidRDefault="00C77380" w:rsidP="00C43AB0">
      <w:pPr>
        <w:spacing w:after="0" w:line="360" w:lineRule="auto"/>
        <w:jc w:val="both"/>
        <w:rPr>
          <w:lang w:val="en-US"/>
        </w:rPr>
      </w:pPr>
      <w:r>
        <w:rPr>
          <w:lang w:val="en-US"/>
        </w:rPr>
        <w:t xml:space="preserve">To grasp a better understanding of the AI performance. </w:t>
      </w:r>
      <w:r w:rsidR="008E4A35">
        <w:rPr>
          <w:lang w:val="en-US"/>
        </w:rPr>
        <w:fldChar w:fldCharType="begin" w:fldLock="1"/>
      </w:r>
      <w:r w:rsidR="009D3333">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8E4A35">
        <w:rPr>
          <w:lang w:val="en-US"/>
        </w:rPr>
        <w:fldChar w:fldCharType="separate"/>
      </w:r>
      <w:r w:rsidR="008E4A35" w:rsidRPr="008E4A35">
        <w:rPr>
          <w:noProof/>
          <w:lang w:val="en-US"/>
        </w:rPr>
        <w:t>(O’Connor et al., 2019)</w:t>
      </w:r>
      <w:r w:rsidR="008E4A35">
        <w:rPr>
          <w:lang w:val="en-US"/>
        </w:rPr>
        <w:fldChar w:fldCharType="end"/>
      </w:r>
      <w:r w:rsidR="008E4A35">
        <w:rPr>
          <w:lang w:val="en-US"/>
        </w:rPr>
        <w:t xml:space="preserve"> map how humans perform.</w:t>
      </w:r>
    </w:p>
    <w:p w14:paraId="4EB98137" w14:textId="3D9EFF89" w:rsidR="00C43AB0" w:rsidRDefault="00C43AB0" w:rsidP="00C43AB0">
      <w:pPr>
        <w:spacing w:after="0" w:line="360" w:lineRule="auto"/>
        <w:jc w:val="both"/>
        <w:rPr>
          <w:lang w:val="en-US"/>
        </w:rPr>
      </w:pPr>
    </w:p>
    <w:p w14:paraId="17BDFB78" w14:textId="755CD7BD" w:rsidR="00C43AB0" w:rsidRDefault="00C43AB0" w:rsidP="00C43AB0">
      <w:pPr>
        <w:spacing w:after="0" w:line="360" w:lineRule="auto"/>
        <w:jc w:val="both"/>
        <w:rPr>
          <w:lang w:val="en-US"/>
        </w:rPr>
      </w:pPr>
      <w:r>
        <w:rPr>
          <w:lang w:val="en-US"/>
        </w:rPr>
        <w:t xml:space="preserve">CHE-modelling </w:t>
      </w:r>
    </w:p>
    <w:p w14:paraId="23E9FA04" w14:textId="77777777" w:rsidR="00C43AB0" w:rsidRPr="00C43AB0" w:rsidRDefault="00C43AB0" w:rsidP="00C43AB0">
      <w:pPr>
        <w:spacing w:after="0" w:line="360" w:lineRule="auto"/>
        <w:jc w:val="both"/>
        <w:rPr>
          <w:lang w:val="en-US"/>
        </w:rPr>
      </w:pPr>
    </w:p>
    <w:p w14:paraId="72F26DA9" w14:textId="347D31E5" w:rsidR="00A40E4F" w:rsidRDefault="005A61A3" w:rsidP="00C43AB0">
      <w:pPr>
        <w:spacing w:after="0" w:line="360" w:lineRule="auto"/>
        <w:jc w:val="both"/>
        <w:rPr>
          <w:lang w:val="en-US"/>
        </w:rPr>
      </w:pPr>
      <w:r>
        <w:rPr>
          <w:lang w:val="en-US"/>
        </w:rPr>
        <w:t xml:space="preserve">We think it is more fair to compare the performance of the GPT models </w:t>
      </w:r>
    </w:p>
    <w:p w14:paraId="41F0001F" w14:textId="17CD1676" w:rsidR="008C5665" w:rsidRDefault="008C5665" w:rsidP="00C43AB0">
      <w:pPr>
        <w:spacing w:after="0" w:line="360" w:lineRule="auto"/>
        <w:jc w:val="both"/>
        <w:rPr>
          <w:lang w:val="en-US"/>
        </w:rPr>
      </w:pPr>
      <w:r>
        <w:rPr>
          <w:lang w:val="en-US"/>
        </w:rPr>
        <w:t xml:space="preserve">Deleted all training data. </w:t>
      </w:r>
    </w:p>
    <w:p w14:paraId="19C3E568" w14:textId="405B49E5" w:rsidR="00D342AD" w:rsidRDefault="00D342AD" w:rsidP="00C43AB0">
      <w:pPr>
        <w:spacing w:after="0" w:line="360" w:lineRule="auto"/>
        <w:jc w:val="both"/>
        <w:rPr>
          <w:rFonts w:eastAsiaTheme="minorEastAsia"/>
          <w:lang w:val="en-US"/>
        </w:rPr>
      </w:pPr>
    </w:p>
    <w:p w14:paraId="7F468FD9" w14:textId="3CDA322E" w:rsidR="007332FC" w:rsidRDefault="007332FC" w:rsidP="00C43AB0">
      <w:pPr>
        <w:spacing w:after="0" w:line="360" w:lineRule="auto"/>
        <w:jc w:val="both"/>
        <w:rPr>
          <w:rFonts w:eastAsiaTheme="minorEastAsia"/>
          <w:lang w:val="en-US"/>
        </w:rPr>
      </w:pPr>
      <w:r>
        <w:rPr>
          <w:rFonts w:eastAsiaTheme="minorEastAsia"/>
          <w:lang w:val="en-US"/>
        </w:rPr>
        <w:t xml:space="preserve">Mention how to calculate variance and confidence intervals. Viectbauer and Research synthesis methods.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p>
    <w:p w14:paraId="31E37D31" w14:textId="77777777" w:rsidR="007332FC" w:rsidRDefault="007332FC" w:rsidP="006F63D8">
      <w:pPr>
        <w:spacing w:after="0" w:line="360" w:lineRule="auto"/>
        <w:rPr>
          <w:lang w:val="en-US"/>
        </w:rPr>
      </w:pPr>
    </w:p>
    <w:p w14:paraId="5965D2D2" w14:textId="306681D1" w:rsidR="00A40E4F" w:rsidRPr="00296111" w:rsidRDefault="00A40E4F" w:rsidP="006F63D8">
      <w:pPr>
        <w:spacing w:after="0" w:line="360" w:lineRule="auto"/>
        <w:rPr>
          <w:b/>
          <w:lang w:val="en-US"/>
        </w:rPr>
      </w:pPr>
      <w:r w:rsidRPr="00296111">
        <w:rPr>
          <w:b/>
          <w:lang w:val="en-US"/>
        </w:rPr>
        <w:br w:type="page"/>
      </w:r>
    </w:p>
    <w:tbl>
      <w:tblPr>
        <w:tblStyle w:val="TableGrid"/>
        <w:tblW w:w="0" w:type="auto"/>
        <w:tblLook w:val="04A0" w:firstRow="1" w:lastRow="0" w:firstColumn="1" w:lastColumn="0" w:noHBand="0" w:noVBand="1"/>
      </w:tblPr>
      <w:tblGrid>
        <w:gridCol w:w="1916"/>
        <w:gridCol w:w="3754"/>
        <w:gridCol w:w="1385"/>
        <w:gridCol w:w="672"/>
        <w:gridCol w:w="704"/>
      </w:tblGrid>
      <w:tr w:rsidR="00D04E6F" w14:paraId="0ED70F70" w14:textId="77777777" w:rsidTr="006417A3">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lastRenderedPageBreak/>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3754"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385" w:type="dxa"/>
            <w:tcBorders>
              <w:left w:val="nil"/>
              <w:bottom w:val="single" w:sz="4" w:space="0" w:color="auto"/>
              <w:right w:val="nil"/>
            </w:tcBorders>
          </w:tcPr>
          <w:p w14:paraId="55C9580A" w14:textId="01F00443" w:rsidR="00D04E6F" w:rsidRPr="006417A3" w:rsidRDefault="00A24F5E"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m:t>
              </m:r>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668"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673"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6417A3">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3754"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385"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668"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673"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6417A3">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3754"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385"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668"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6417A3">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3754"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385" w:type="dxa"/>
            <w:tcBorders>
              <w:top w:val="nil"/>
              <w:left w:val="nil"/>
              <w:bottom w:val="nil"/>
              <w:right w:val="nil"/>
            </w:tcBorders>
          </w:tcPr>
          <w:p w14:paraId="4BFA4407" w14:textId="34CFC6B8"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1160</w:t>
            </w:r>
          </w:p>
        </w:tc>
        <w:tc>
          <w:tcPr>
            <w:tcW w:w="668"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75B0FFAF" w14:textId="77777777" w:rsidTr="006417A3">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7332FC">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3754"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385"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668"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733A88CD" w14:textId="77777777" w:rsidTr="006417A3">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385"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668"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4F8C9BCA" w14:textId="77777777" w:rsidTr="006417A3">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385"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668"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673"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6417A3">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385"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668"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7332FC" w14:paraId="77D7F058" w14:textId="77777777" w:rsidTr="006417A3">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3754"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385"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668"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673"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7332FC" w14:paraId="45BA78C6" w14:textId="77777777" w:rsidTr="006417A3">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385"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668"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7332FC" w14:paraId="799F5C45" w14:textId="77777777" w:rsidTr="006417A3">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385"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668"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7332FC" w14:paraId="3EBF81A0" w14:textId="77777777" w:rsidTr="006417A3">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3754"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385"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668"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7332FC" w14:paraId="080316F7" w14:textId="77777777" w:rsidTr="006417A3">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3754"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385"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668"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6417A3">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385"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668"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6417A3">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lastRenderedPageBreak/>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3754"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385"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668"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6417A3">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3754"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385"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668"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6417A3">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385"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668"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6417A3">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3754"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385"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668"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673"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6417A3">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3754"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385"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668"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6417A3">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3754"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385"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668"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6417A3">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3754"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385"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668"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6417A3">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385"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668"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6417A3">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385"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668"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48D99DEC" w:rsidR="005A61A3"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19A0E82B" w14:textId="77777777" w:rsidR="00DD4509" w:rsidRPr="005A61A3" w:rsidRDefault="00DD4509" w:rsidP="006F63D8">
      <w:pPr>
        <w:spacing w:after="0" w:line="360" w:lineRule="auto"/>
        <w:rPr>
          <w:lang w:val="en-US"/>
        </w:rPr>
      </w:pPr>
    </w:p>
    <w:p w14:paraId="03338350" w14:textId="6A0CC42A"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CA7FFF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77777777" w:rsidR="007B03A8" w:rsidRDefault="007B03A8">
                            <w:pPr>
                              <w:rPr>
                                <w:noProof/>
                                <w:lang w:val="en-US"/>
                              </w:rPr>
                            </w:pPr>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659F95" id="_x0000_t202" coordsize="21600,21600" o:spt="202" path="m,l,21600r21600,l21600,xe">
                <v:stroke joinstyle="miter"/>
                <v:path gradientshapeok="t" o:connecttype="rect"/>
              </v:shapetype>
              <v:shape id="Text Box 2" o:spid="_x0000_s1026"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xKKQIAAC0EAAAOAAAAZHJzL2Uyb0RvYy54bWysU9uO2yAQfa/Uf0C8N469uWysOKtttqkq&#10;bS/Sbj8AYxyjAkOBxN5+/Q44StL2rSoPiLlwOHNmWN8NWpGjcF6CqWg+mVIiDIdGmn1Fvz/v3t1S&#10;4gMzDVNgREVfhKd3m7dv1r0tRQEdqEY4giDGl72taBeCLbPM805o5idghcFgC06zgKbbZ41jPaJr&#10;lRXT6SLrwTXWARfeo/dhDNJNwm9bwcPXtvUiEFVR5BbS7tJexz3brFm5d8x2kp9osH9goZk0+OgZ&#10;6oEFRg5O/gWlJXfgoQ0TDjqDtpVcpBqwmnz6RzVPHbMi1YLieHuWyf8/WP7l+M0R2VS0yJeUGKax&#10;Sc9iCOQ9DKSI+vTWl5j2ZDExDOjGPqdavX0E/sMTA9uOmb24dw76TrAG+eXxZnZ1dcTxEaTuP0OD&#10;z7BDgAQ0tE4TB9icfIFNxZXcqA7Bx7BtL+dWRWYcncvVzeymmFPCMTZf5ovVdJ6eZGVEi62wzoeP&#10;AjSJh4o6nIUEy46PPkR2l5SY7kHJZieVSobb11vlyJHh3OzSOqH/lqYM6Su6miOReMtAvJ9GSsuA&#10;c62krujtWFFyR3U+mCadA5NqPCMTZU5yRYVGrcJQD5gYNayheUHhkkQoB/43LKgD94uSHme3ov7n&#10;gTlBifpkUPxVPpvFYU/GbL4s0HDXkfo6wgxHqIoGSsbjNqQPMlZ0j01qZdLrwuTEFWcyyXj6P3Ho&#10;r+2Udfnlm1cAAAD//wMAUEsDBBQABgAIAAAAIQCTm7NR4gAAAAoBAAAPAAAAZHJzL2Rvd25yZXYu&#10;eG1sTI9NS8NAEIbvgv9hGcGLtLs2oTUxmyLFD3oRbEXobZsdk2B2NmS3bfTXdzzpaRjeh3eeKZaj&#10;68QRh9B60nA7VSCQKm9bqjW8b58mdyBCNGRN5wk1fGOAZXl5UZjc+hO94XETa8ElFHKjoYmxz6UM&#10;VYPOhKnvkTj79IMzkdehlnYwJy53nZwpNZfOtMQXGtPjqsHqa3NwGhYvr/NdXLmfdves1tnjjVv3&#10;6YfW11fjwz2IiGP8g+FXn9WhZKe9P5ANotOQqJRJDVnCk/MsUQsQewaTdJaBLAv5/4XyDAAA//8D&#10;AFBLAQItABQABgAIAAAAIQC2gziS/gAAAOEBAAATAAAAAAAAAAAAAAAAAAAAAABbQ29udGVudF9U&#10;eXBlc10ueG1sUEsBAi0AFAAGAAgAAAAhADj9If/WAAAAlAEAAAsAAAAAAAAAAAAAAAAALwEAAF9y&#10;ZWxzLy5yZWxzUEsBAi0AFAAGAAgAAAAhADWUnEopAgAALQQAAA4AAAAAAAAAAAAAAAAALgIAAGRy&#10;cy9lMm9Eb2MueG1sUEsBAi0AFAAGAAgAAAAhAJObs1HiAAAACgEAAA8AAAAAAAAAAAAAAAAAgwQA&#10;AGRycy9kb3ducmV2LnhtbFBLBQYAAAAABAAEAPMAAACSBQAAAAA=&#10;" stroked="f">
                <v:textbox>
                  <w:txbxContent>
                    <w:p w14:paraId="736EFC91" w14:textId="77777777" w:rsidR="007B03A8" w:rsidRDefault="007B03A8">
                      <w:pPr>
                        <w:rPr>
                          <w:noProof/>
                          <w:lang w:val="en-US"/>
                        </w:rPr>
                      </w:pPr>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v:textbox>
                <w10:wrap type="square"/>
              </v:shape>
            </w:pict>
          </mc:Fallback>
        </mc:AlternateContent>
      </w:r>
      <w:r>
        <w:rPr>
          <w:lang w:val="en-US"/>
        </w:rPr>
        <w:br w:type="textWrapping" w:clear="all"/>
      </w:r>
      <w:r>
        <w:rPr>
          <w:i/>
          <w:lang w:val="en-US"/>
        </w:rPr>
        <w:br w:type="page"/>
      </w:r>
    </w:p>
    <w:p w14:paraId="6A413CBF" w14:textId="77777777" w:rsidR="00F8213A" w:rsidRDefault="00F8213A" w:rsidP="006F63D8">
      <w:pPr>
        <w:spacing w:after="0" w:line="360" w:lineRule="auto"/>
        <w:rPr>
          <w:lang w:val="en-US"/>
        </w:rPr>
      </w:pPr>
    </w:p>
    <w:p w14:paraId="63C45D6E" w14:textId="77777777" w:rsidR="00E50CAC" w:rsidRDefault="00F8213A" w:rsidP="006F63D8">
      <w:pPr>
        <w:spacing w:after="0" w:line="360" w:lineRule="auto"/>
        <w:rPr>
          <w:lang w:val="en-US"/>
        </w:rPr>
      </w:pPr>
      <w:r w:rsidRPr="00625587">
        <w:rPr>
          <w:noProof/>
          <w:lang w:val="en-US"/>
        </w:rPr>
        <mc:AlternateContent>
          <mc:Choice Requires="wps">
            <w:drawing>
              <wp:anchor distT="45720" distB="45720" distL="114300" distR="114300" simplePos="0" relativeHeight="251661312" behindDoc="0" locked="0" layoutInCell="1" allowOverlap="1" wp14:anchorId="741311F9" wp14:editId="1AA57199">
                <wp:simplePos x="0" y="0"/>
                <wp:positionH relativeFrom="margin">
                  <wp:posOffset>-295275</wp:posOffset>
                </wp:positionH>
                <wp:positionV relativeFrom="paragraph">
                  <wp:posOffset>782320</wp:posOffset>
                </wp:positionV>
                <wp:extent cx="7934325" cy="5716905"/>
                <wp:effectExtent l="381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311F9" id="_x0000_s1027" type="#_x0000_t202" style="position:absolute;margin-left:-23.25pt;margin-top:61.6pt;width:624.75pt;height:450.1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QKAIAADIEAAAOAAAAZHJzL2Uyb0RvYy54bWysU9uO2yAQfa/Uf0C8N46zuWysOKtttqkq&#10;bS/Sbj8AYxyjAkOBxE6/vgO2kqh9q8oDYi4czpwZNg+9VuQknJdgSppPppQIw6GW5lDS76/7d/eU&#10;+MBMzRQYUdKz8PRh+/bNprOFmEELqhaOIIjxRWdL2oZgiyzzvBWa+QlYYTDYgNMsoOkOWe1Yh+ha&#10;ZbPpdJl14GrrgAvv0fs0BOk24TeN4OFr03gRiCopcgtpd2mv4p5tN6w4OGZbyUca7B9YaCYNPnqB&#10;emKBkaOTf0FpyR14aMKEg86gaSQXqQasJp/+Uc1Ly6xItaA43l5k8v8Pln85fXNE1tg7SgzT2KJX&#10;0QfyHnoyi+p01heY9GIxLfTojpmxUm+fgf/wxMCuZeYgHp2DrhWsRnZ5vJndXB1wfASpus9Q4zPs&#10;GCAB9Y3TxAG2Jl9iS3ElN2pD8DFs2vnSqMiMo3O1vpvfzRaUcIwtVvlyPV2kJ1kR0SI963z4KECT&#10;eCipw0lIsOz07ENkd01J1YCS9V4qlQx3qHbKkRPDqdmnNaL72zRlSFfS9QKJxFsG4v00UFoGnGol&#10;dUnvh4qSO6rzwdTpHJhUwxmZKDPKFRUatAp91Y99wfwoZQX1GfVLSqEq+OmwrhbcL0o6HOCS+p9H&#10;5gQl6pPBHqzz+TxOfDLmi9UMDXcbqW4jzHCEKmmgZDjuQvolQ2GP2KtGJtmuTEbKOJhJzfETxcm/&#10;tVPW9atvfwMAAP//AwBQSwMEFAAGAAgAAAAhAPUL5qzjAAAADQEAAA8AAABkcnMvZG93bnJldi54&#10;bWxMj09Lw0AQxe+C32EZwYu0uwm1pjGbIsU/9CJYRehtmx2TYHY2ZLdt9NN3etLbe7zHm98Uy9F1&#10;4oBDaD1pSKYKBFLlbUu1ho/3p0kGIkRD1nSeUMMPBliWlxeFya0/0hseNrEWPEIhNxqaGPtcylA1&#10;6EyY+h6Jsy8/OBPZDrW0gznyuOtkqtRcOtMSX2hMj6sGq+/N3mm4e3mdb+PK/bbbZ7VePN64dT/7&#10;1Pr6any4BxFxjH9lOOMzOpTMtPN7skF07NMs4aqGyW0yA3FuqDRjtWOVLDiUZSH/f1GeAAAA//8D&#10;AFBLAQItABQABgAIAAAAIQC2gziS/gAAAOEBAAATAAAAAAAAAAAAAAAAAAAAAABbQ29udGVudF9U&#10;eXBlc10ueG1sUEsBAi0AFAAGAAgAAAAhADj9If/WAAAAlAEAAAsAAAAAAAAAAAAAAAAALwEAAF9y&#10;ZWxzLy5yZWxzUEsBAi0AFAAGAAgAAAAhAK637xAoAgAAMgQAAA4AAAAAAAAAAAAAAAAALgIAAGRy&#10;cy9lMm9Eb2MueG1sUEsBAi0AFAAGAAgAAAAhAPUL5qzjAAAADQEAAA8AAAAAAAAAAAAAAAAAggQA&#10;AGRycy9kb3ducmV2LnhtbFBLBQYAAAAABAAEAPMAAACSBQAAAAA=&#10;" stroked="f">
                <v:textbo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v:textbox>
                <w10:wrap type="square" anchorx="margin"/>
              </v:shape>
            </w:pict>
          </mc:Fallback>
        </mc:AlternateContent>
      </w:r>
      <w:r>
        <w:rPr>
          <w:lang w:val="en-US"/>
        </w:rPr>
        <w:br w:type="page"/>
      </w:r>
    </w:p>
    <w:p w14:paraId="7F4120F8" w14:textId="77777777" w:rsidR="00310E18" w:rsidRDefault="00310E18" w:rsidP="006F63D8">
      <w:pPr>
        <w:spacing w:after="0" w:line="360" w:lineRule="auto"/>
        <w:rPr>
          <w:lang w:val="en-US"/>
        </w:rPr>
      </w:pPr>
      <w:r>
        <w:rPr>
          <w:lang w:val="en-US"/>
        </w:rPr>
        <w:lastRenderedPageBreak/>
        <w:t>Mention the authority and deeper content knowledge of the main author which might cause the recall to increase when review author screen with student assistants. Therefore to compare screenings with more equal relations, we analyze data from sixe systematic reviews conducted by the Norwegian Institue of Public Health (NIPH).</w:t>
      </w:r>
    </w:p>
    <w:p w14:paraId="7D252E31" w14:textId="77777777" w:rsidR="00C43AB0" w:rsidRDefault="00C43AB0" w:rsidP="00C43AB0">
      <w:pPr>
        <w:spacing w:after="0" w:line="360" w:lineRule="auto"/>
        <w:rPr>
          <w:rFonts w:eastAsiaTheme="minorEastAsia"/>
          <w:lang w:val="en-US"/>
        </w:rPr>
      </w:pPr>
    </w:p>
    <w:p w14:paraId="166A00D2" w14:textId="77777777" w:rsidR="00C43AB0" w:rsidRPr="00C43AB0" w:rsidRDefault="00C43AB0" w:rsidP="00C43AB0">
      <w:pPr>
        <w:spacing w:after="0" w:line="360" w:lineRule="auto"/>
        <w:rPr>
          <w:rFonts w:eastAsiaTheme="minorEastAsia"/>
          <w:b/>
          <w:lang w:val="en-US"/>
        </w:rPr>
      </w:pPr>
      <w:r>
        <w:rPr>
          <w:rFonts w:eastAsiaTheme="minorEastAsia"/>
          <w:b/>
          <w:lang w:val="en-US"/>
        </w:rPr>
        <w:t xml:space="preserve">3.3 Transparency and openess </w:t>
      </w:r>
    </w:p>
    <w:p w14:paraId="531C3B8B" w14:textId="7BAE24DE" w:rsidR="00C43AB0" w:rsidRDefault="00C43AB0" w:rsidP="006F63D8">
      <w:pPr>
        <w:spacing w:after="0" w:line="360" w:lineRule="auto"/>
        <w:rPr>
          <w:lang w:val="en-US"/>
        </w:rPr>
      </w:pPr>
    </w:p>
    <w:p w14:paraId="62C95BC5" w14:textId="4ACEFE78" w:rsidR="00C43AB0" w:rsidRDefault="00C43AB0" w:rsidP="006F63D8">
      <w:pPr>
        <w:spacing w:after="0" w:line="360" w:lineRule="auto"/>
        <w:rPr>
          <w:lang w:val="en-US"/>
        </w:rPr>
      </w:pPr>
    </w:p>
    <w:p w14:paraId="154F46C9" w14:textId="02052EEB" w:rsidR="00557E46" w:rsidRDefault="00557E46" w:rsidP="006F63D8">
      <w:pPr>
        <w:spacing w:after="0" w:line="360" w:lineRule="auto"/>
        <w:rPr>
          <w:b/>
          <w:lang w:val="en-US"/>
        </w:rPr>
      </w:pPr>
      <w:r w:rsidRPr="00557E46">
        <w:rPr>
          <w:b/>
          <w:lang w:val="en-US"/>
        </w:rPr>
        <w:t>4 PROMPT DEVELOPMENT</w:t>
      </w:r>
      <w:r w:rsidR="00CE10BC">
        <w:rPr>
          <w:b/>
          <w:lang w:val="en-US"/>
        </w:rPr>
        <w:t xml:space="preserve"> AND FUNCTION CALLING</w:t>
      </w:r>
    </w:p>
    <w:p w14:paraId="2D9D56FD" w14:textId="65040892" w:rsidR="00296111" w:rsidRDefault="00557E46" w:rsidP="006F63D8">
      <w:pPr>
        <w:spacing w:after="0" w:line="360" w:lineRule="auto"/>
        <w:rPr>
          <w:i/>
          <w:lang w:val="en-US"/>
        </w:rPr>
      </w:pPr>
      <w:r>
        <w:rPr>
          <w:b/>
          <w:lang w:val="en-US"/>
        </w:rPr>
        <w:t>5</w:t>
      </w:r>
      <w:r w:rsidR="00296111" w:rsidRPr="00296111">
        <w:rPr>
          <w:b/>
          <w:lang w:val="en-US"/>
        </w:rPr>
        <w:t xml:space="preserve"> NUMERICAL STUDY</w:t>
      </w:r>
    </w:p>
    <w:p w14:paraId="4DA013BC" w14:textId="01FBA2B3" w:rsidR="00303077" w:rsidRDefault="00303077" w:rsidP="006F63D8">
      <w:pPr>
        <w:spacing w:after="0" w:line="360" w:lineRule="auto"/>
        <w:rPr>
          <w:i/>
          <w:lang w:val="en-US"/>
        </w:rPr>
      </w:pPr>
      <w:r>
        <w:rPr>
          <w:i/>
          <w:lang w:val="en-US"/>
        </w:rPr>
        <w:t>Simulation data</w:t>
      </w:r>
    </w:p>
    <w:p w14:paraId="1121F35C" w14:textId="72626DC6" w:rsidR="00F8213A" w:rsidRDefault="00F8213A" w:rsidP="006F63D8">
      <w:pPr>
        <w:spacing w:after="0" w:line="360" w:lineRule="auto"/>
        <w:rPr>
          <w:lang w:val="en-US"/>
        </w:rPr>
      </w:pPr>
      <w:r>
        <w:rPr>
          <w:lang w:val="en-US"/>
        </w:rPr>
        <w:t>FRIENDS and FTT</w:t>
      </w:r>
      <w:r w:rsidR="00AF4595">
        <w:rPr>
          <w:lang w:val="en-US"/>
        </w:rPr>
        <w:t>, only citation records with abstracts</w:t>
      </w:r>
    </w:p>
    <w:p w14:paraId="451A485B" w14:textId="2A85FCF4" w:rsidR="005F5FAC" w:rsidRDefault="005F5FAC" w:rsidP="006F63D8">
      <w:pPr>
        <w:spacing w:after="0" w:line="360" w:lineRule="auto"/>
        <w:rPr>
          <w:lang w:val="en-US"/>
        </w:rPr>
      </w:pPr>
      <w:r>
        <w:rPr>
          <w:lang w:val="en-US"/>
        </w:rPr>
        <w:t xml:space="preserve">What type of reviews. </w:t>
      </w:r>
    </w:p>
    <w:p w14:paraId="15F0C69E" w14:textId="2C73D295" w:rsidR="005F5FAC" w:rsidRDefault="005F5FAC" w:rsidP="006F63D8">
      <w:pPr>
        <w:spacing w:after="0" w:line="360" w:lineRule="auto"/>
        <w:rPr>
          <w:lang w:val="en-US"/>
        </w:rPr>
      </w:pPr>
      <w:r>
        <w:rPr>
          <w:lang w:val="en-US"/>
        </w:rPr>
        <w:t xml:space="preserve">How many titles and abstracts used. </w:t>
      </w:r>
    </w:p>
    <w:p w14:paraId="5E81CA1D" w14:textId="77777777" w:rsidR="00495581" w:rsidRDefault="00495581" w:rsidP="006F63D8">
      <w:pPr>
        <w:spacing w:after="0" w:line="360" w:lineRule="auto"/>
        <w:rPr>
          <w:i/>
          <w:lang w:val="en-US"/>
        </w:rPr>
      </w:pPr>
      <w:r>
        <w:rPr>
          <w:i/>
          <w:lang w:val="en-US"/>
        </w:rPr>
        <w:t xml:space="preserve">Prompt engineering </w:t>
      </w:r>
    </w:p>
    <w:p w14:paraId="3433B57E" w14:textId="452094CD" w:rsidR="00DD4464" w:rsidRDefault="00DD4464" w:rsidP="006F63D8">
      <w:pPr>
        <w:spacing w:after="0" w:line="360" w:lineRule="auto"/>
        <w:rPr>
          <w:lang w:val="en-US"/>
        </w:rPr>
      </w:pPr>
      <w:r>
        <w:rPr>
          <w:lang w:val="en-US"/>
        </w:rPr>
        <w:t>[insert prompt example]</w:t>
      </w:r>
    </w:p>
    <w:p w14:paraId="0DF94CF3" w14:textId="3666705C" w:rsidR="00C43AB0" w:rsidRPr="00DD4464" w:rsidRDefault="00C43AB0" w:rsidP="006F63D8">
      <w:pPr>
        <w:spacing w:after="0" w:line="360" w:lineRule="auto"/>
        <w:rPr>
          <w:lang w:val="en-US"/>
        </w:rPr>
      </w:pPr>
      <w:r>
        <w:rPr>
          <w:lang w:val="en-US"/>
        </w:rPr>
        <w:t xml:space="preserve">In hindsight, there was no need to add multiple inclusion criteria to a single prompt but it seems not to matter when workin with simple screening cases. </w:t>
      </w:r>
    </w:p>
    <w:p w14:paraId="3EC67F63" w14:textId="77777777" w:rsidR="00C03E98" w:rsidRDefault="00C03E98" w:rsidP="006F63D8">
      <w:pPr>
        <w:spacing w:after="0" w:line="360" w:lineRule="auto"/>
        <w:rPr>
          <w:i/>
          <w:lang w:val="en-US"/>
        </w:rPr>
      </w:pPr>
      <w:r w:rsidRPr="001F0CFC">
        <w:rPr>
          <w:i/>
          <w:lang w:val="en-US"/>
        </w:rPr>
        <w:t>The simulation results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7263A3">
        <w:trPr>
          <w:trHeight w:val="688"/>
        </w:trPr>
        <w:tc>
          <w:tcPr>
            <w:tcW w:w="2155" w:type="dxa"/>
            <w:tcBorders>
              <w:left w:val="nil"/>
              <w:bottom w:val="single" w:sz="4" w:space="0" w:color="auto"/>
              <w:right w:val="nil"/>
            </w:tcBorders>
          </w:tcPr>
          <w:p w14:paraId="6011BFE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6F63D8">
            <w:pPr>
              <w:spacing w:line="360" w:lineRule="auto"/>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Raw aggrement (%)</w:t>
            </w:r>
          </w:p>
          <w:p w14:paraId="2349F2EE" w14:textId="10943F66" w:rsidR="007263A3" w:rsidRPr="00AF4595"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w:t>
            </w:r>
          </w:p>
        </w:tc>
      </w:tr>
      <w:tr w:rsidR="007263A3" w14:paraId="02340728" w14:textId="77777777" w:rsidTr="007263A3">
        <w:trPr>
          <w:trHeight w:val="344"/>
        </w:trPr>
        <w:tc>
          <w:tcPr>
            <w:tcW w:w="2155" w:type="dxa"/>
            <w:tcBorders>
              <w:left w:val="nil"/>
              <w:bottom w:val="nil"/>
              <w:right w:val="nil"/>
            </w:tcBorders>
          </w:tcPr>
          <w:p w14:paraId="2B5123FB"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FFT</w:t>
            </w:r>
          </w:p>
        </w:tc>
        <w:tc>
          <w:tcPr>
            <w:tcW w:w="707" w:type="dxa"/>
            <w:tcBorders>
              <w:left w:val="nil"/>
              <w:bottom w:val="nil"/>
              <w:right w:val="nil"/>
            </w:tcBorders>
          </w:tcPr>
          <w:p w14:paraId="62DE16CB" w14:textId="77777777" w:rsidR="007263A3" w:rsidRPr="008D1FE3" w:rsidRDefault="007263A3" w:rsidP="006F63D8">
            <w:pPr>
              <w:spacing w:line="360" w:lineRule="auto"/>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6F63D8">
            <w:pPr>
              <w:spacing w:line="360" w:lineRule="auto"/>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6F63D8">
            <w:pPr>
              <w:spacing w:line="360" w:lineRule="auto"/>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6F63D8">
            <w:pPr>
              <w:spacing w:line="360" w:lineRule="auto"/>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6F63D8">
            <w:pPr>
              <w:spacing w:line="360" w:lineRule="auto"/>
              <w:rPr>
                <w:rFonts w:cs="Times New Roman"/>
                <w:sz w:val="20"/>
                <w:szCs w:val="20"/>
                <w:lang w:val="en-US"/>
              </w:rPr>
            </w:pPr>
          </w:p>
        </w:tc>
      </w:tr>
      <w:tr w:rsidR="007263A3" w14:paraId="2EDFC57A" w14:textId="77777777" w:rsidTr="007263A3">
        <w:trPr>
          <w:trHeight w:val="688"/>
        </w:trPr>
        <w:tc>
          <w:tcPr>
            <w:tcW w:w="2155" w:type="dxa"/>
            <w:tcBorders>
              <w:top w:val="nil"/>
              <w:left w:val="nil"/>
              <w:bottom w:val="nil"/>
              <w:right w:val="nil"/>
            </w:tcBorders>
          </w:tcPr>
          <w:p w14:paraId="21033F1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98C3C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(incl. prop = .5)</w:t>
            </w:r>
          </w:p>
        </w:tc>
        <w:tc>
          <w:tcPr>
            <w:tcW w:w="707" w:type="dxa"/>
            <w:tcBorders>
              <w:top w:val="nil"/>
              <w:left w:val="nil"/>
              <w:bottom w:val="nil"/>
              <w:right w:val="nil"/>
            </w:tcBorders>
          </w:tcPr>
          <w:p w14:paraId="439B9963"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71</w:t>
            </w:r>
          </w:p>
          <w:p w14:paraId="2ACD761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(49/69)</w:t>
            </w:r>
          </w:p>
        </w:tc>
        <w:tc>
          <w:tcPr>
            <w:tcW w:w="1903" w:type="dxa"/>
            <w:tcBorders>
              <w:top w:val="nil"/>
              <w:left w:val="nil"/>
              <w:bottom w:val="nil"/>
              <w:right w:val="nil"/>
            </w:tcBorders>
          </w:tcPr>
          <w:p w14:paraId="2738677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95.6</w:t>
            </w:r>
          </w:p>
          <w:p w14:paraId="39E6E8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(3888/4066)</w:t>
            </w:r>
          </w:p>
        </w:tc>
        <w:tc>
          <w:tcPr>
            <w:tcW w:w="2192" w:type="dxa"/>
            <w:tcBorders>
              <w:top w:val="nil"/>
              <w:left w:val="nil"/>
              <w:bottom w:val="nil"/>
              <w:right w:val="nil"/>
            </w:tcBorders>
          </w:tcPr>
          <w:p w14:paraId="6A60F2B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95.2</w:t>
            </w:r>
          </w:p>
          <w:p w14:paraId="244B64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(3937/4135)</w:t>
            </w:r>
          </w:p>
        </w:tc>
        <w:tc>
          <w:tcPr>
            <w:tcW w:w="733" w:type="dxa"/>
            <w:tcBorders>
              <w:top w:val="nil"/>
              <w:left w:val="nil"/>
              <w:bottom w:val="nil"/>
              <w:right w:val="nil"/>
            </w:tcBorders>
          </w:tcPr>
          <w:p w14:paraId="7B590B5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83.3</w:t>
            </w:r>
          </w:p>
        </w:tc>
      </w:tr>
      <w:tr w:rsidR="007263A3" w14:paraId="23CF56C8" w14:textId="77777777" w:rsidTr="007263A3">
        <w:trPr>
          <w:trHeight w:val="688"/>
        </w:trPr>
        <w:tc>
          <w:tcPr>
            <w:tcW w:w="2155" w:type="dxa"/>
            <w:tcBorders>
              <w:top w:val="nil"/>
              <w:left w:val="nil"/>
              <w:bottom w:val="nil"/>
              <w:right w:val="nil"/>
            </w:tcBorders>
          </w:tcPr>
          <w:p w14:paraId="59A79C9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0E2FC47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.3)</w:t>
            </w:r>
          </w:p>
        </w:tc>
        <w:tc>
          <w:tcPr>
            <w:tcW w:w="707" w:type="dxa"/>
            <w:tcBorders>
              <w:top w:val="nil"/>
              <w:left w:val="nil"/>
              <w:bottom w:val="nil"/>
              <w:right w:val="nil"/>
            </w:tcBorders>
          </w:tcPr>
          <w:p w14:paraId="5991FBF9"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87.4</w:t>
            </w:r>
          </w:p>
        </w:tc>
      </w:tr>
      <w:tr w:rsidR="007263A3" w14:paraId="37D130AC" w14:textId="77777777" w:rsidTr="007263A3">
        <w:trPr>
          <w:trHeight w:val="688"/>
        </w:trPr>
        <w:tc>
          <w:tcPr>
            <w:tcW w:w="2155" w:type="dxa"/>
            <w:tcBorders>
              <w:top w:val="nil"/>
              <w:left w:val="nil"/>
              <w:bottom w:val="nil"/>
              <w:right w:val="nil"/>
            </w:tcBorders>
          </w:tcPr>
          <w:p w14:paraId="6440F73E"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91.8</w:t>
            </w:r>
          </w:p>
        </w:tc>
      </w:tr>
      <w:tr w:rsidR="007263A3" w14:paraId="30448492" w14:textId="77777777" w:rsidTr="007263A3">
        <w:trPr>
          <w:trHeight w:val="344"/>
        </w:trPr>
        <w:tc>
          <w:tcPr>
            <w:tcW w:w="2155" w:type="dxa"/>
            <w:tcBorders>
              <w:top w:val="nil"/>
              <w:left w:val="nil"/>
              <w:bottom w:val="nil"/>
              <w:right w:val="nil"/>
            </w:tcBorders>
          </w:tcPr>
          <w:p w14:paraId="6F451A83"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nil"/>
              <w:right w:val="nil"/>
            </w:tcBorders>
          </w:tcPr>
          <w:p w14:paraId="4917003C" w14:textId="77777777" w:rsidR="007263A3" w:rsidRPr="008D1FE3" w:rsidRDefault="007263A3" w:rsidP="006F63D8">
            <w:pPr>
              <w:spacing w:line="360" w:lineRule="auto"/>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6F63D8">
            <w:pPr>
              <w:spacing w:line="360" w:lineRule="auto"/>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6F63D8">
            <w:pPr>
              <w:spacing w:line="360" w:lineRule="auto"/>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6F63D8">
            <w:pPr>
              <w:spacing w:line="360" w:lineRule="auto"/>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6F63D8">
            <w:pPr>
              <w:spacing w:line="360" w:lineRule="auto"/>
              <w:jc w:val="center"/>
              <w:rPr>
                <w:rFonts w:cs="Times New Roman"/>
                <w:sz w:val="20"/>
                <w:szCs w:val="20"/>
                <w:lang w:val="en-US"/>
              </w:rPr>
            </w:pPr>
          </w:p>
        </w:tc>
      </w:tr>
      <w:tr w:rsidR="007263A3" w14:paraId="65420711" w14:textId="77777777" w:rsidTr="007263A3">
        <w:trPr>
          <w:trHeight w:val="688"/>
        </w:trPr>
        <w:tc>
          <w:tcPr>
            <w:tcW w:w="2155" w:type="dxa"/>
            <w:tcBorders>
              <w:top w:val="nil"/>
              <w:left w:val="nil"/>
              <w:bottom w:val="nil"/>
              <w:right w:val="nil"/>
            </w:tcBorders>
          </w:tcPr>
          <w:p w14:paraId="4F9EA570"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3D8FB5"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.5)</w:t>
            </w:r>
          </w:p>
        </w:tc>
        <w:tc>
          <w:tcPr>
            <w:tcW w:w="707" w:type="dxa"/>
            <w:tcBorders>
              <w:top w:val="nil"/>
              <w:left w:val="nil"/>
              <w:bottom w:val="nil"/>
              <w:right w:val="nil"/>
            </w:tcBorders>
          </w:tcPr>
          <w:p w14:paraId="18BEDA50"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96.9</w:t>
            </w:r>
          </w:p>
          <w:p w14:paraId="1AB39AE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(62/64)</w:t>
            </w:r>
          </w:p>
        </w:tc>
        <w:tc>
          <w:tcPr>
            <w:tcW w:w="1903" w:type="dxa"/>
            <w:tcBorders>
              <w:top w:val="nil"/>
              <w:left w:val="nil"/>
              <w:bottom w:val="nil"/>
              <w:right w:val="nil"/>
            </w:tcBorders>
          </w:tcPr>
          <w:p w14:paraId="774A292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76.5</w:t>
            </w:r>
          </w:p>
          <w:p w14:paraId="731A38A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(1930/2511)</w:t>
            </w:r>
          </w:p>
        </w:tc>
        <w:tc>
          <w:tcPr>
            <w:tcW w:w="2192" w:type="dxa"/>
            <w:tcBorders>
              <w:top w:val="nil"/>
              <w:left w:val="nil"/>
              <w:bottom w:val="nil"/>
              <w:right w:val="nil"/>
            </w:tcBorders>
          </w:tcPr>
          <w:p w14:paraId="4FFB42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77.1</w:t>
            </w:r>
          </w:p>
          <w:p w14:paraId="7530CDA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(1992/2575)</w:t>
            </w:r>
          </w:p>
        </w:tc>
        <w:tc>
          <w:tcPr>
            <w:tcW w:w="733" w:type="dxa"/>
            <w:tcBorders>
              <w:top w:val="nil"/>
              <w:left w:val="nil"/>
              <w:bottom w:val="nil"/>
              <w:right w:val="nil"/>
            </w:tcBorders>
          </w:tcPr>
          <w:p w14:paraId="6C4F63E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86.7</w:t>
            </w:r>
          </w:p>
        </w:tc>
      </w:tr>
      <w:tr w:rsidR="007263A3" w14:paraId="7C5D7C9B" w14:textId="77777777" w:rsidTr="007263A3">
        <w:trPr>
          <w:trHeight w:val="688"/>
        </w:trPr>
        <w:tc>
          <w:tcPr>
            <w:tcW w:w="2155" w:type="dxa"/>
            <w:tcBorders>
              <w:top w:val="nil"/>
              <w:left w:val="nil"/>
              <w:bottom w:val="nil"/>
              <w:right w:val="nil"/>
            </w:tcBorders>
          </w:tcPr>
          <w:p w14:paraId="3115FFA1"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89.8</w:t>
            </w:r>
          </w:p>
          <w:p w14:paraId="60F399A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(2256/2511)</w:t>
            </w:r>
          </w:p>
        </w:tc>
        <w:tc>
          <w:tcPr>
            <w:tcW w:w="2192" w:type="dxa"/>
            <w:tcBorders>
              <w:top w:val="nil"/>
              <w:left w:val="nil"/>
              <w:bottom w:val="nil"/>
              <w:right w:val="nil"/>
            </w:tcBorders>
          </w:tcPr>
          <w:p w14:paraId="7C5A36F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90.0</w:t>
            </w:r>
          </w:p>
          <w:p w14:paraId="2BFA99E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(2317/2575)</w:t>
            </w:r>
          </w:p>
        </w:tc>
        <w:tc>
          <w:tcPr>
            <w:tcW w:w="733" w:type="dxa"/>
            <w:tcBorders>
              <w:top w:val="nil"/>
              <w:left w:val="nil"/>
              <w:bottom w:val="nil"/>
              <w:right w:val="nil"/>
            </w:tcBorders>
          </w:tcPr>
          <w:p w14:paraId="47EE675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92.6</w:t>
            </w:r>
          </w:p>
        </w:tc>
      </w:tr>
      <w:tr w:rsidR="007263A3" w14:paraId="1AB72D18" w14:textId="77777777" w:rsidTr="007263A3">
        <w:trPr>
          <w:trHeight w:val="673"/>
        </w:trPr>
        <w:tc>
          <w:tcPr>
            <w:tcW w:w="2155" w:type="dxa"/>
            <w:tcBorders>
              <w:top w:val="nil"/>
              <w:left w:val="nil"/>
              <w:right w:val="nil"/>
            </w:tcBorders>
          </w:tcPr>
          <w:p w14:paraId="29824BA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5200B269"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w:t>
            </w:r>
            <w:r>
              <w:rPr>
                <w:rFonts w:cs="Times New Roman"/>
                <w:sz w:val="20"/>
                <w:szCs w:val="20"/>
              </w:rPr>
              <w:t>7</w:t>
            </w:r>
          </w:p>
          <w:p w14:paraId="2A5C58B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w:t>
            </w:r>
            <w:commentRangeStart w:id="2"/>
            <w:r w:rsidRPr="008D1FE3">
              <w:rPr>
                <w:rFonts w:cs="Times New Roman"/>
                <w:sz w:val="20"/>
                <w:szCs w:val="20"/>
              </w:rPr>
              <w:t>2455/2511</w:t>
            </w:r>
            <w:commentRangeEnd w:id="2"/>
            <w:r>
              <w:rPr>
                <w:rStyle w:val="CommentReference"/>
              </w:rPr>
              <w:commentReference w:id="2"/>
            </w:r>
            <w:r w:rsidRPr="008D1FE3">
              <w:rPr>
                <w:rFonts w:cs="Times New Roman"/>
                <w:sz w:val="20"/>
                <w:szCs w:val="20"/>
              </w:rPr>
              <w:t>)</w:t>
            </w:r>
          </w:p>
        </w:tc>
        <w:tc>
          <w:tcPr>
            <w:tcW w:w="2192" w:type="dxa"/>
            <w:tcBorders>
              <w:top w:val="nil"/>
              <w:left w:val="nil"/>
              <w:right w:val="nil"/>
            </w:tcBorders>
          </w:tcPr>
          <w:p w14:paraId="33C38F9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97.4</w:t>
            </w:r>
          </w:p>
          <w:p w14:paraId="70684F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(2518/2585)</w:t>
            </w:r>
          </w:p>
        </w:tc>
        <w:tc>
          <w:tcPr>
            <w:tcW w:w="733" w:type="dxa"/>
            <w:tcBorders>
              <w:top w:val="nil"/>
              <w:left w:val="nil"/>
              <w:right w:val="nil"/>
            </w:tcBorders>
          </w:tcPr>
          <w:p w14:paraId="6CAD6C3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97.9</w:t>
            </w:r>
          </w:p>
        </w:tc>
      </w:tr>
    </w:tbl>
    <w:p w14:paraId="0049AEDD" w14:textId="3F867FF8" w:rsidR="00F8213A" w:rsidRPr="00BA1204" w:rsidRDefault="00BA1204" w:rsidP="006F63D8">
      <w:pPr>
        <w:spacing w:after="0" w:line="360" w:lineRule="auto"/>
        <w:rPr>
          <w:rFonts w:cs="Times New Roman"/>
          <w:sz w:val="20"/>
          <w:szCs w:val="20"/>
          <w:lang w:val="en-US"/>
        </w:rPr>
      </w:pPr>
      <w:r w:rsidRPr="00BA1204">
        <w:rPr>
          <w:rFonts w:cs="Times New Roman"/>
          <w:i/>
          <w:sz w:val="20"/>
          <w:szCs w:val="20"/>
          <w:lang w:val="en-US"/>
        </w:rPr>
        <w:lastRenderedPageBreak/>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7A550CED" w14:textId="51B0B080" w:rsidR="00CD576D" w:rsidRDefault="00CD576D" w:rsidP="006F63D8">
      <w:pPr>
        <w:spacing w:after="0" w:line="360" w:lineRule="auto"/>
        <w:rPr>
          <w:lang w:val="en-US"/>
        </w:rPr>
      </w:pPr>
      <w:commentRangeStart w:id="3"/>
      <w:r>
        <w:rPr>
          <w:noProof/>
          <w:lang w:val="en-US"/>
        </w:rPr>
        <w:drawing>
          <wp:inline distT="0" distB="0" distL="0" distR="0" wp14:anchorId="026FFD10" wp14:editId="039DD275">
            <wp:extent cx="5374479" cy="3838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9488" cy="3849476"/>
                    </a:xfrm>
                    <a:prstGeom prst="rect">
                      <a:avLst/>
                    </a:prstGeom>
                  </pic:spPr>
                </pic:pic>
              </a:graphicData>
            </a:graphic>
          </wp:inline>
        </w:drawing>
      </w:r>
      <w:commentRangeEnd w:id="3"/>
      <w:r>
        <w:rPr>
          <w:rStyle w:val="CommentReference"/>
        </w:rPr>
        <w:commentReference w:id="3"/>
      </w:r>
    </w:p>
    <w:p w14:paraId="7896EB71" w14:textId="465A470D" w:rsidR="00CD576D" w:rsidRDefault="00CD576D" w:rsidP="006F63D8">
      <w:pPr>
        <w:spacing w:after="0" w:line="360" w:lineRule="auto"/>
        <w:rPr>
          <w:lang w:val="en-US"/>
        </w:rPr>
      </w:pPr>
      <w:commentRangeStart w:id="4"/>
      <w:r>
        <w:rPr>
          <w:noProof/>
          <w:lang w:val="en-US"/>
        </w:rPr>
        <w:drawing>
          <wp:inline distT="0" distB="0" distL="0" distR="0" wp14:anchorId="10649E02" wp14:editId="59C3ACDB">
            <wp:extent cx="5326170" cy="3804249"/>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frie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8756" cy="3813238"/>
                    </a:xfrm>
                    <a:prstGeom prst="rect">
                      <a:avLst/>
                    </a:prstGeom>
                  </pic:spPr>
                </pic:pic>
              </a:graphicData>
            </a:graphic>
          </wp:inline>
        </w:drawing>
      </w:r>
      <w:commentRangeEnd w:id="4"/>
      <w:r>
        <w:rPr>
          <w:rStyle w:val="CommentReference"/>
        </w:rPr>
        <w:commentReference w:id="4"/>
      </w: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lastRenderedPageBreak/>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t xml:space="preserve">The adequacy of the GPT 3.5 models is very sensitive to the inclusion threshold across the chosen number of iterations. Therefore, we ideally recommend use the GPT-4 model when reviewers have 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considered screening all titles and abstracts with 10 iterations. For now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6379E0E1" w:rsidR="00C03E98" w:rsidRDefault="00557E46" w:rsidP="006F63D8">
      <w:pPr>
        <w:spacing w:after="0" w:line="360" w:lineRule="auto"/>
        <w:rPr>
          <w:i/>
          <w:lang w:val="en-US"/>
        </w:rPr>
      </w:pPr>
      <w:r>
        <w:rPr>
          <w:b/>
          <w:lang w:val="en-US"/>
        </w:rPr>
        <w:t>6</w:t>
      </w:r>
      <w:r w:rsidR="00296111">
        <w:rPr>
          <w:i/>
          <w:lang w:val="en-US"/>
        </w:rPr>
        <w:t xml:space="preserve"> </w:t>
      </w:r>
      <w:r w:rsidR="00296111" w:rsidRPr="00296111">
        <w:rPr>
          <w:b/>
          <w:lang w:val="en-US"/>
        </w:rPr>
        <w:t>TENTATIVE GUIDELINES</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11E96A43" w:rsidR="00AD3408" w:rsidRPr="00AD3408" w:rsidRDefault="00AD3408" w:rsidP="00AD3408">
      <w:pPr>
        <w:pStyle w:val="ListParagraph"/>
        <w:numPr>
          <w:ilvl w:val="0"/>
          <w:numId w:val="6"/>
        </w:numPr>
        <w:spacing w:after="0" w:line="360" w:lineRule="auto"/>
        <w:rPr>
          <w:lang w:val="en-US"/>
        </w:rPr>
      </w:pPr>
      <w:r w:rsidRPr="00AD3408">
        <w:rPr>
          <w:lang w:val="en-US"/>
        </w:rPr>
        <w:t>When reviewers want to keep duplicate screening, we suggest that the GPT API models can be used as a third screener for extra ensurance that all relevant studies are detected.</w:t>
      </w:r>
    </w:p>
    <w:p w14:paraId="1BA28F62" w14:textId="570C93A5" w:rsidR="004808CD" w:rsidRPr="004808CD" w:rsidRDefault="004808CD" w:rsidP="006F63D8">
      <w:pPr>
        <w:spacing w:after="0" w:line="360" w:lineRule="auto"/>
        <w:rPr>
          <w:b/>
          <w:lang w:val="en-US"/>
        </w:rPr>
      </w:pPr>
      <w:r>
        <w:rPr>
          <w:b/>
          <w:lang w:val="en-US"/>
        </w:rPr>
        <w:t>Figure x: FIND NAME</w:t>
      </w:r>
    </w:p>
    <w:p w14:paraId="7C7A4C14" w14:textId="6522B641" w:rsidR="004808CD" w:rsidRPr="00743CF7" w:rsidRDefault="004808CD" w:rsidP="006F63D8">
      <w:pPr>
        <w:spacing w:after="0" w:line="360" w:lineRule="auto"/>
        <w:rPr>
          <w:lang w:val="en-US"/>
        </w:rPr>
      </w:pPr>
      <w:r>
        <w:rPr>
          <w:noProof/>
        </w:rPr>
        <w:lastRenderedPageBreak/>
        <w:drawing>
          <wp:inline distT="0" distB="0" distL="0" distR="0" wp14:anchorId="7FB6B899" wp14:editId="1FD4AF62">
            <wp:extent cx="379095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2571750"/>
                    </a:xfrm>
                    <a:prstGeom prst="rect">
                      <a:avLst/>
                    </a:prstGeom>
                  </pic:spPr>
                </pic:pic>
              </a:graphicData>
            </a:graphic>
          </wp:inline>
        </w:drawing>
      </w:r>
    </w:p>
    <w:p w14:paraId="74247006" w14:textId="2A7ED18D" w:rsidR="001A14D6" w:rsidRPr="001A14D6" w:rsidRDefault="001A14D6" w:rsidP="006F63D8">
      <w:pPr>
        <w:spacing w:after="0" w:line="360" w:lineRule="auto"/>
        <w:rPr>
          <w:b/>
          <w:lang w:val="en-US"/>
        </w:rPr>
      </w:pPr>
      <w:r>
        <w:rPr>
          <w:b/>
          <w:lang w:val="en-US"/>
        </w:rPr>
        <w:t>Figure x: Hierarchical screening</w:t>
      </w:r>
    </w:p>
    <w:p w14:paraId="53D88868" w14:textId="72024467" w:rsidR="001A14D6" w:rsidRDefault="00743CF7" w:rsidP="006F63D8">
      <w:pPr>
        <w:spacing w:after="0" w:line="360" w:lineRule="auto"/>
        <w:rPr>
          <w:i/>
          <w:lang w:val="en-US"/>
        </w:rPr>
      </w:pPr>
      <w:r>
        <w:rPr>
          <w:noProof/>
        </w:rPr>
        <w:drawing>
          <wp:inline distT="0" distB="0" distL="0" distR="0" wp14:anchorId="5C072A83" wp14:editId="19F6D09D">
            <wp:extent cx="4895850" cy="3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3790950"/>
                    </a:xfrm>
                    <a:prstGeom prst="rect">
                      <a:avLst/>
                    </a:prstGeom>
                  </pic:spPr>
                </pic:pic>
              </a:graphicData>
            </a:graphic>
          </wp:inline>
        </w:drawing>
      </w:r>
    </w:p>
    <w:p w14:paraId="2291F93F" w14:textId="45D92A42" w:rsidR="00CF14B2" w:rsidRPr="00CF14B2" w:rsidRDefault="00CF14B2" w:rsidP="006F63D8">
      <w:pPr>
        <w:spacing w:after="0" w:line="360" w:lineRule="auto"/>
        <w:rPr>
          <w:b/>
          <w:i/>
          <w:lang w:val="en-US"/>
        </w:rPr>
      </w:pPr>
      <w:r w:rsidRPr="00CF14B2">
        <w:rPr>
          <w:b/>
          <w:i/>
          <w:lang w:val="en-US"/>
        </w:rPr>
        <w:t>5.1. When not to</w:t>
      </w:r>
      <w:r>
        <w:rPr>
          <w:b/>
          <w:i/>
          <w:lang w:val="en-US"/>
        </w:rPr>
        <w:t xml:space="preserve"> </w:t>
      </w:r>
      <w:r w:rsidR="001A14D6">
        <w:rPr>
          <w:b/>
          <w:i/>
          <w:lang w:val="en-US"/>
        </w:rPr>
        <w:t xml:space="preserve">use </w:t>
      </w:r>
      <w:r>
        <w:rPr>
          <w:b/>
          <w:i/>
          <w:lang w:val="en-US"/>
        </w:rPr>
        <w:t>GPT API model for TAB screening?</w:t>
      </w:r>
    </w:p>
    <w:p w14:paraId="4FA1D2D3" w14:textId="1B67D823" w:rsidR="00C03E98" w:rsidRPr="00296111" w:rsidRDefault="00557E46" w:rsidP="006F63D8">
      <w:pPr>
        <w:spacing w:after="0" w:line="360" w:lineRule="auto"/>
        <w:rPr>
          <w:b/>
          <w:lang w:val="en-US"/>
        </w:rPr>
      </w:pPr>
      <w:r>
        <w:rPr>
          <w:b/>
          <w:lang w:val="en-US"/>
        </w:rPr>
        <w:t>7</w:t>
      </w:r>
      <w:r w:rsidR="00296111">
        <w:rPr>
          <w:b/>
          <w:lang w:val="en-US"/>
        </w:rPr>
        <w:t xml:space="preserve"> LIMITATIONS</w:t>
      </w:r>
    </w:p>
    <w:p w14:paraId="0E21D514" w14:textId="1A729525"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p>
    <w:p w14:paraId="54732BE0" w14:textId="30BCA0D9" w:rsidR="00DB1D88" w:rsidRPr="0011702D" w:rsidRDefault="00DB1D88" w:rsidP="006F63D8">
      <w:pPr>
        <w:pStyle w:val="ListParagraph"/>
        <w:numPr>
          <w:ilvl w:val="0"/>
          <w:numId w:val="5"/>
        </w:numPr>
        <w:spacing w:after="0" w:line="360" w:lineRule="auto"/>
        <w:rPr>
          <w:lang w:val="en-US"/>
        </w:rPr>
      </w:pPr>
      <w:r>
        <w:rPr>
          <w:lang w:val="en-US"/>
        </w:rPr>
        <w:t>Different performance across model updates</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00FBB799" w:rsidR="00CE10BC" w:rsidRPr="0011702D" w:rsidRDefault="00CE10BC" w:rsidP="006F63D8">
      <w:pPr>
        <w:pStyle w:val="ListParagraph"/>
        <w:numPr>
          <w:ilvl w:val="0"/>
          <w:numId w:val="5"/>
        </w:numPr>
        <w:spacing w:after="0" w:line="360" w:lineRule="auto"/>
        <w:rPr>
          <w:lang w:val="en-US"/>
        </w:rPr>
      </w:pPr>
      <w:r>
        <w:rPr>
          <w:lang w:val="en-US"/>
        </w:rPr>
        <w:lastRenderedPageBreak/>
        <w:t>Environmental impact (embrace the critiques from van Lissa)</w:t>
      </w:r>
    </w:p>
    <w:p w14:paraId="42DDA8E7" w14:textId="723AC353" w:rsidR="00495581" w:rsidRPr="00296111" w:rsidRDefault="00557E46" w:rsidP="006F63D8">
      <w:pPr>
        <w:spacing w:after="0" w:line="360" w:lineRule="auto"/>
        <w:rPr>
          <w:b/>
        </w:rPr>
      </w:pPr>
      <w:r>
        <w:rPr>
          <w:b/>
        </w:rPr>
        <w:t>8</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36A86AAB" w:rsidR="00495581" w:rsidRPr="00CA251A"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064713E9" w14:textId="449A3347" w:rsidR="00C03E98" w:rsidRPr="00296111" w:rsidRDefault="00557E46" w:rsidP="006F63D8">
      <w:pPr>
        <w:spacing w:after="0" w:line="360" w:lineRule="auto"/>
        <w:rPr>
          <w:b/>
        </w:rPr>
      </w:pPr>
      <w:r>
        <w:rPr>
          <w:b/>
        </w:rPr>
        <w:t>9</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lastRenderedPageBreak/>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77777777" w:rsidR="00A473E7" w:rsidRPr="0011702D" w:rsidRDefault="00382F5D" w:rsidP="006F63D8">
      <w:pPr>
        <w:spacing w:after="0" w:line="360" w:lineRule="auto"/>
        <w:rPr>
          <w:lang w:val="en-US"/>
        </w:rPr>
      </w:pPr>
      <w:r w:rsidRPr="0011702D">
        <w:rPr>
          <w:rFonts w:cs="Times New Roman"/>
          <w:b/>
          <w:bCs/>
          <w:szCs w:val="24"/>
          <w:lang w:val="en-US"/>
        </w:rPr>
        <w:lastRenderedPageBreak/>
        <w:t>REFERENCES</w:t>
      </w:r>
    </w:p>
    <w:p w14:paraId="40F82907" w14:textId="6DF22600" w:rsidR="00BD65EB" w:rsidRPr="00BD65EB" w:rsidRDefault="00A23F06" w:rsidP="00BD65EB">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BD65EB" w:rsidRPr="00BD65EB">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BD65EB" w:rsidRPr="00BD65EB">
        <w:rPr>
          <w:rFonts w:cs="Times New Roman"/>
          <w:i/>
          <w:iCs/>
          <w:noProof/>
          <w:szCs w:val="24"/>
        </w:rPr>
        <w:t>Systems</w:t>
      </w:r>
      <w:r w:rsidR="00BD65EB" w:rsidRPr="00BD65EB">
        <w:rPr>
          <w:rFonts w:cs="Times New Roman"/>
          <w:noProof/>
          <w:szCs w:val="24"/>
        </w:rPr>
        <w:t xml:space="preserve">, </w:t>
      </w:r>
      <w:r w:rsidR="00BD65EB" w:rsidRPr="00BD65EB">
        <w:rPr>
          <w:rFonts w:cs="Times New Roman"/>
          <w:i/>
          <w:iCs/>
          <w:noProof/>
          <w:szCs w:val="24"/>
        </w:rPr>
        <w:t>11</w:t>
      </w:r>
      <w:r w:rsidR="00BD65EB" w:rsidRPr="00BD65EB">
        <w:rPr>
          <w:rFonts w:cs="Times New Roman"/>
          <w:noProof/>
          <w:szCs w:val="24"/>
        </w:rPr>
        <w:t>(7), 351.</w:t>
      </w:r>
    </w:p>
    <w:p w14:paraId="0B4AD5BA"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Ames, H., Hestevik, C. H., &amp; Briggs, A. M. (2024). Acceptability, values, and preferences of older people for chronic low back pain management; a qualitative evidence synthesis. </w:t>
      </w:r>
      <w:r w:rsidRPr="00BD65EB">
        <w:rPr>
          <w:rFonts w:cs="Times New Roman"/>
          <w:i/>
          <w:iCs/>
          <w:noProof/>
          <w:szCs w:val="24"/>
        </w:rPr>
        <w:t>BMC Geriatrics</w:t>
      </w:r>
      <w:r w:rsidRPr="00BD65EB">
        <w:rPr>
          <w:rFonts w:cs="Times New Roman"/>
          <w:noProof/>
          <w:szCs w:val="24"/>
        </w:rPr>
        <w:t xml:space="preserve">, </w:t>
      </w:r>
      <w:r w:rsidRPr="00BD65EB">
        <w:rPr>
          <w:rFonts w:cs="Times New Roman"/>
          <w:i/>
          <w:iCs/>
          <w:noProof/>
          <w:szCs w:val="24"/>
        </w:rPr>
        <w:t>24</w:t>
      </w:r>
      <w:r w:rsidRPr="00BD65EB">
        <w:rPr>
          <w:rFonts w:cs="Times New Roman"/>
          <w:noProof/>
          <w:szCs w:val="24"/>
        </w:rPr>
        <w:t>(1), 1–22. https://doi.org/10.1186/s12877-023-04608-4</w:t>
      </w:r>
    </w:p>
    <w:p w14:paraId="50F5EE6D"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Boetje, J., &amp; van de Schoot, R. (2024). The SAFE procedure: a practical stopping heuristic for active learning-based screening in systematic reviews and meta-analyses.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13</w:t>
      </w:r>
      <w:r w:rsidRPr="00BD65EB">
        <w:rPr>
          <w:rFonts w:cs="Times New Roman"/>
          <w:noProof/>
          <w:szCs w:val="24"/>
        </w:rPr>
        <w:t>(1), 81.</w:t>
      </w:r>
    </w:p>
    <w:p w14:paraId="05C8ABBC"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Bøg, M., Filges, T., &amp; Jørgensen, A. M. K. (2018). Deployment of personnel to military operations: impact on mental health and social functioning.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14</w:t>
      </w:r>
      <w:r w:rsidRPr="00BD65EB">
        <w:rPr>
          <w:rFonts w:cs="Times New Roman"/>
          <w:noProof/>
          <w:szCs w:val="24"/>
        </w:rPr>
        <w:t>(1), 1–127. https://doi.org/https://doi.org/10.4073/csr.2018.6</w:t>
      </w:r>
    </w:p>
    <w:p w14:paraId="7E71007E"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19</w:t>
      </w:r>
      <w:r w:rsidRPr="00BD65EB">
        <w:rPr>
          <w:rFonts w:cs="Times New Roman"/>
          <w:noProof/>
          <w:szCs w:val="24"/>
        </w:rPr>
        <w:t>(3), e1345.</w:t>
      </w:r>
    </w:p>
    <w:p w14:paraId="502CE0A0"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19</w:t>
      </w:r>
      <w:r w:rsidRPr="00BD65EB">
        <w:rPr>
          <w:rFonts w:cs="Times New Roman"/>
          <w:noProof/>
          <w:szCs w:val="24"/>
        </w:rPr>
        <w:t>(4), e1371. https://doi.org/https://doi.org/10.1002/cl2.1371</w:t>
      </w:r>
    </w:p>
    <w:p w14:paraId="64B247E5"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Borenstein, M., Hedges, L. V., Higgins, J. P. T., &amp; Rothstein, H. R. (2009). </w:t>
      </w:r>
      <w:r w:rsidRPr="00BD65EB">
        <w:rPr>
          <w:rFonts w:cs="Times New Roman"/>
          <w:i/>
          <w:iCs/>
          <w:noProof/>
          <w:szCs w:val="24"/>
        </w:rPr>
        <w:t>Introduction to meta-analysis</w:t>
      </w:r>
      <w:r w:rsidRPr="00BD65EB">
        <w:rPr>
          <w:rFonts w:cs="Times New Roman"/>
          <w:noProof/>
          <w:szCs w:val="24"/>
        </w:rPr>
        <w:t xml:space="preserve"> (1st ed.). John Wiley &amp; Sons.</w:t>
      </w:r>
    </w:p>
    <w:p w14:paraId="267CFA01"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BD65EB">
        <w:rPr>
          <w:rFonts w:cs="Times New Roman"/>
          <w:i/>
          <w:iCs/>
          <w:noProof/>
          <w:szCs w:val="24"/>
        </w:rPr>
        <w:t>Humanities and Social Sciences Communications</w:t>
      </w:r>
      <w:r w:rsidRPr="00BD65EB">
        <w:rPr>
          <w:rFonts w:cs="Times New Roman"/>
          <w:noProof/>
          <w:szCs w:val="24"/>
        </w:rPr>
        <w:t xml:space="preserve">, </w:t>
      </w:r>
      <w:r w:rsidRPr="00BD65EB">
        <w:rPr>
          <w:rFonts w:cs="Times New Roman"/>
          <w:i/>
          <w:iCs/>
          <w:noProof/>
          <w:szCs w:val="24"/>
        </w:rPr>
        <w:t>8</w:t>
      </w:r>
      <w:r w:rsidRPr="00BD65EB">
        <w:rPr>
          <w:rFonts w:cs="Times New Roman"/>
          <w:noProof/>
          <w:szCs w:val="24"/>
        </w:rPr>
        <w:t>(1), 1–15.</w:t>
      </w:r>
    </w:p>
    <w:p w14:paraId="238FBBBA"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Burgard, T., &amp; Bittermann, A. (2023). Reducing Literature Screening Workload With Machine Learning. </w:t>
      </w:r>
      <w:r w:rsidRPr="00BD65EB">
        <w:rPr>
          <w:rFonts w:cs="Times New Roman"/>
          <w:i/>
          <w:iCs/>
          <w:noProof/>
          <w:szCs w:val="24"/>
        </w:rPr>
        <w:t>Zeitschrift Für Psychologie</w:t>
      </w:r>
      <w:r w:rsidRPr="00BD65EB">
        <w:rPr>
          <w:rFonts w:cs="Times New Roman"/>
          <w:noProof/>
          <w:szCs w:val="24"/>
        </w:rPr>
        <w:t>.</w:t>
      </w:r>
    </w:p>
    <w:p w14:paraId="5C218D5C"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Buscemi, N., Hartling, L., Vandermeer, B., Tjosvold, L., &amp; Klassen, T. P. (2006). Single data extraction generated more errors than double data extraction in systematic reviews. </w:t>
      </w:r>
      <w:r w:rsidRPr="00BD65EB">
        <w:rPr>
          <w:rFonts w:cs="Times New Roman"/>
          <w:i/>
          <w:iCs/>
          <w:noProof/>
          <w:szCs w:val="24"/>
        </w:rPr>
        <w:t>Journal of Clinical Epidemiology</w:t>
      </w:r>
      <w:r w:rsidRPr="00BD65EB">
        <w:rPr>
          <w:rFonts w:cs="Times New Roman"/>
          <w:noProof/>
          <w:szCs w:val="24"/>
        </w:rPr>
        <w:t xml:space="preserve">, </w:t>
      </w:r>
      <w:r w:rsidRPr="00BD65EB">
        <w:rPr>
          <w:rFonts w:cs="Times New Roman"/>
          <w:i/>
          <w:iCs/>
          <w:noProof/>
          <w:szCs w:val="24"/>
        </w:rPr>
        <w:t>59</w:t>
      </w:r>
      <w:r w:rsidRPr="00BD65EB">
        <w:rPr>
          <w:rFonts w:cs="Times New Roman"/>
          <w:noProof/>
          <w:szCs w:val="24"/>
        </w:rPr>
        <w:t>(7), 697–703.</w:t>
      </w:r>
    </w:p>
    <w:p w14:paraId="0E38E482"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Campbell Collaboration. (2023). </w:t>
      </w:r>
      <w:r w:rsidRPr="00BD65EB">
        <w:rPr>
          <w:rFonts w:cs="Times New Roman"/>
          <w:i/>
          <w:iCs/>
          <w:noProof/>
          <w:szCs w:val="24"/>
        </w:rPr>
        <w:t>Stepping up evidence synthesis: faster, cheaper and more useful</w:t>
      </w:r>
      <w:r w:rsidRPr="00BD65EB">
        <w:rPr>
          <w:rFonts w:cs="Times New Roman"/>
          <w:noProof/>
          <w:szCs w:val="24"/>
        </w:rPr>
        <w:t>. https://www.campbellcollaboration.org/news-and-events/news/stepping-up-evidence-</w:t>
      </w:r>
      <w:r w:rsidRPr="00BD65EB">
        <w:rPr>
          <w:rFonts w:cs="Times New Roman"/>
          <w:noProof/>
          <w:szCs w:val="24"/>
        </w:rPr>
        <w:lastRenderedPageBreak/>
        <w:t>synthesis.html</w:t>
      </w:r>
    </w:p>
    <w:p w14:paraId="37A2F9C9"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Campos, D. G., Fütterer, T., Gfrörer, T., Lavelle-Hill, R. E., Murayama, K., König, L., Hecht, M., Zitzmann, S., &amp; Scherer, R. (2023). </w:t>
      </w:r>
      <w:r w:rsidRPr="00BD65EB">
        <w:rPr>
          <w:rFonts w:cs="Times New Roman"/>
          <w:i/>
          <w:iCs/>
          <w:noProof/>
          <w:szCs w:val="24"/>
        </w:rPr>
        <w:t>Screening Smarter, Not Harder: A Comparative Analysis of Machine Learning Screening Algorithms and Heuristic Stopping Criteria for Systematic Reviews in Educational Research</w:t>
      </w:r>
      <w:r w:rsidRPr="00BD65EB">
        <w:rPr>
          <w:rFonts w:cs="Times New Roman"/>
          <w:noProof/>
          <w:szCs w:val="24"/>
        </w:rPr>
        <w:t>.</w:t>
      </w:r>
    </w:p>
    <w:p w14:paraId="02557475"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Chicco, D., &amp; Jurman, G. (2023). The Matthews correlation coefficient (MCC) should replace the ROC AUC as the standard metric for assessing binary classification. </w:t>
      </w:r>
      <w:r w:rsidRPr="00BD65EB">
        <w:rPr>
          <w:rFonts w:cs="Times New Roman"/>
          <w:i/>
          <w:iCs/>
          <w:noProof/>
          <w:szCs w:val="24"/>
        </w:rPr>
        <w:t>BioData Mining</w:t>
      </w:r>
      <w:r w:rsidRPr="00BD65EB">
        <w:rPr>
          <w:rFonts w:cs="Times New Roman"/>
          <w:noProof/>
          <w:szCs w:val="24"/>
        </w:rPr>
        <w:t xml:space="preserve">, </w:t>
      </w:r>
      <w:r w:rsidRPr="00BD65EB">
        <w:rPr>
          <w:rFonts w:cs="Times New Roman"/>
          <w:i/>
          <w:iCs/>
          <w:noProof/>
          <w:szCs w:val="24"/>
        </w:rPr>
        <w:t>16</w:t>
      </w:r>
      <w:r w:rsidRPr="00BD65EB">
        <w:rPr>
          <w:rFonts w:cs="Times New Roman"/>
          <w:noProof/>
          <w:szCs w:val="24"/>
        </w:rPr>
        <w:t>(1), 1–23.</w:t>
      </w:r>
    </w:p>
    <w:p w14:paraId="23615737"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Cohen, A. M., Hersh, W. R., Peterson, K., &amp; Yen, P.-Y. (2006). Reducing workload in systematic review preparation using automated citation classification. </w:t>
      </w:r>
      <w:r w:rsidRPr="00BD65EB">
        <w:rPr>
          <w:rFonts w:cs="Times New Roman"/>
          <w:i/>
          <w:iCs/>
          <w:noProof/>
          <w:szCs w:val="24"/>
        </w:rPr>
        <w:t>Journal of the American Medical Informatics Association</w:t>
      </w:r>
      <w:r w:rsidRPr="00BD65EB">
        <w:rPr>
          <w:rFonts w:cs="Times New Roman"/>
          <w:noProof/>
          <w:szCs w:val="24"/>
        </w:rPr>
        <w:t xml:space="preserve">, </w:t>
      </w:r>
      <w:r w:rsidRPr="00BD65EB">
        <w:rPr>
          <w:rFonts w:cs="Times New Roman"/>
          <w:i/>
          <w:iCs/>
          <w:noProof/>
          <w:szCs w:val="24"/>
        </w:rPr>
        <w:t>13</w:t>
      </w:r>
      <w:r w:rsidRPr="00BD65EB">
        <w:rPr>
          <w:rFonts w:cs="Times New Roman"/>
          <w:noProof/>
          <w:szCs w:val="24"/>
        </w:rPr>
        <w:t>(2), 206–219.</w:t>
      </w:r>
    </w:p>
    <w:p w14:paraId="685BA0FD"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18</w:t>
      </w:r>
      <w:r w:rsidRPr="00BD65EB">
        <w:rPr>
          <w:rFonts w:cs="Times New Roman"/>
          <w:noProof/>
          <w:szCs w:val="24"/>
        </w:rPr>
        <w:t>(2), e1239. https://doi.org/https://doi.org/10.1002/cl2.1239</w:t>
      </w:r>
    </w:p>
    <w:p w14:paraId="1E3BE9BF"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18</w:t>
      </w:r>
      <w:r w:rsidRPr="00BD65EB">
        <w:rPr>
          <w:rFonts w:cs="Times New Roman"/>
          <w:noProof/>
          <w:szCs w:val="24"/>
        </w:rPr>
        <w:t>(4), e1291. https://doi.org/https://doi.org/10.1002/cl2.1291</w:t>
      </w:r>
    </w:p>
    <w:p w14:paraId="7B830413"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18</w:t>
      </w:r>
      <w:r w:rsidRPr="00BD65EB">
        <w:rPr>
          <w:rFonts w:cs="Times New Roman"/>
          <w:noProof/>
          <w:szCs w:val="24"/>
        </w:rPr>
        <w:t>(1), e1209. https://doi.org/https://doi.org/10.1002/cl2.1209</w:t>
      </w:r>
    </w:p>
    <w:p w14:paraId="6C4035E0"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18</w:t>
      </w:r>
      <w:r w:rsidRPr="00BD65EB">
        <w:rPr>
          <w:rFonts w:cs="Times New Roman"/>
          <w:noProof/>
          <w:szCs w:val="24"/>
        </w:rPr>
        <w:t>(3), e1254. https://doi.org/10.1002/cl2.1254</w:t>
      </w:r>
    </w:p>
    <w:p w14:paraId="765FBEA5"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16</w:t>
      </w:r>
      <w:r w:rsidRPr="00BD65EB">
        <w:rPr>
          <w:rFonts w:cs="Times New Roman"/>
          <w:noProof/>
          <w:szCs w:val="24"/>
        </w:rPr>
        <w:t>(2), e1081. https://doi.org/10.1002/cl2.1081</w:t>
      </w:r>
    </w:p>
    <w:p w14:paraId="5221ABEA"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Dietrichson, J., Filges, T., Seerup, J. K., Klokker, R. H., Viinholt, B. C. A., Bøg, M., &amp; Eiberg, M. </w:t>
      </w:r>
      <w:r w:rsidRPr="00BD65EB">
        <w:rPr>
          <w:rFonts w:cs="Times New Roman"/>
          <w:noProof/>
          <w:szCs w:val="24"/>
        </w:rPr>
        <w:lastRenderedPageBreak/>
        <w:t xml:space="preserve">(2021). Targeted school-based interventions for improving reading and mathematics for students with or at risk of academic difficulties in Grades K-6: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17</w:t>
      </w:r>
      <w:r w:rsidRPr="00BD65EB">
        <w:rPr>
          <w:rFonts w:cs="Times New Roman"/>
          <w:noProof/>
          <w:szCs w:val="24"/>
        </w:rPr>
        <w:t>(2), e1152. https://doi.org/10.1002/cl2.1152</w:t>
      </w:r>
    </w:p>
    <w:p w14:paraId="70CD001A"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Doi, S. A., &amp; Xu, C. (2021). The Freeman–Tukey double arcsine transformation for the meta-analysis of proportions: Recent criticisms were seriously misleading. </w:t>
      </w:r>
      <w:r w:rsidRPr="00BD65EB">
        <w:rPr>
          <w:rFonts w:cs="Times New Roman"/>
          <w:i/>
          <w:iCs/>
          <w:noProof/>
          <w:szCs w:val="24"/>
        </w:rPr>
        <w:t>Journal of Evidence-Based Medicine</w:t>
      </w:r>
      <w:r w:rsidRPr="00BD65EB">
        <w:rPr>
          <w:rFonts w:cs="Times New Roman"/>
          <w:noProof/>
          <w:szCs w:val="24"/>
        </w:rPr>
        <w:t xml:space="preserve">, </w:t>
      </w:r>
      <w:r w:rsidRPr="00BD65EB">
        <w:rPr>
          <w:rFonts w:cs="Times New Roman"/>
          <w:i/>
          <w:iCs/>
          <w:noProof/>
          <w:szCs w:val="24"/>
        </w:rPr>
        <w:t>14</w:t>
      </w:r>
      <w:r w:rsidRPr="00BD65EB">
        <w:rPr>
          <w:rFonts w:cs="Times New Roman"/>
          <w:noProof/>
          <w:szCs w:val="24"/>
        </w:rPr>
        <w:t>(4), 259–261. https://doi.org/https://doi.org/10.1111/jebm.12445</w:t>
      </w:r>
    </w:p>
    <w:p w14:paraId="0389EC52"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EPPI-Centre. (2024). </w:t>
      </w:r>
      <w:r w:rsidRPr="00BD65EB">
        <w:rPr>
          <w:rFonts w:cs="Times New Roman"/>
          <w:i/>
          <w:iCs/>
          <w:noProof/>
          <w:szCs w:val="24"/>
        </w:rPr>
        <w:t>Automated data extraction using GPT-4</w:t>
      </w:r>
      <w:r w:rsidRPr="00BD65EB">
        <w:rPr>
          <w:rFonts w:cs="Times New Roman"/>
          <w:noProof/>
          <w:szCs w:val="24"/>
        </w:rPr>
        <w:t>. https://eppi.ioe.ac.uk/cms/Default.aspx?tabid=3921</w:t>
      </w:r>
    </w:p>
    <w:p w14:paraId="5D3BB777"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Evensen, L. H., Kleven, L., Dahm, K. T., Hafstad, E. V., Holte, H. H., Robberstad, B., &amp; Risstad, H. (2023). </w:t>
      </w:r>
      <w:r w:rsidRPr="00BD65EB">
        <w:rPr>
          <w:rFonts w:cs="Times New Roman"/>
          <w:i/>
          <w:iCs/>
          <w:noProof/>
          <w:szCs w:val="24"/>
        </w:rPr>
        <w:t>Sutur av degenerative rotatorcuff-rupturer: en fullstendig metodevurdering [Rotator cuff repair for degenerative rotator cuff tears: a health technology assessment].</w:t>
      </w:r>
      <w:r w:rsidRPr="00BD65EB">
        <w:rPr>
          <w:rFonts w:cs="Times New Roman"/>
          <w:noProof/>
          <w:szCs w:val="24"/>
        </w:rPr>
        <w:t xml:space="preserve"> https://www.fhi.no/publ/2023/sutur-av-degenerative-rotatorcuff-rupturer/</w:t>
      </w:r>
    </w:p>
    <w:p w14:paraId="56FA3A7A"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18</w:t>
      </w:r>
      <w:r w:rsidRPr="00BD65EB">
        <w:rPr>
          <w:rFonts w:cs="Times New Roman"/>
          <w:noProof/>
          <w:szCs w:val="24"/>
        </w:rPr>
        <w:t>(4), e1282. https://doi.org/https://doi.org/10.1002/cl2.1282</w:t>
      </w:r>
    </w:p>
    <w:p w14:paraId="58A249E3"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Filges, T., Dietrichson, J., Viinholt, B. C. A., &amp; Dalgaard, N. T. (2022). Service learning for improving academic success in students in grade K to 12: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18</w:t>
      </w:r>
      <w:r w:rsidRPr="00BD65EB">
        <w:rPr>
          <w:rFonts w:cs="Times New Roman"/>
          <w:noProof/>
          <w:szCs w:val="24"/>
        </w:rPr>
        <w:t>(1), e1210. https://doi.org/https://doi.org/10.1002/cl2.1210</w:t>
      </w:r>
    </w:p>
    <w:p w14:paraId="64F9750F"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Filges, T., Montgomery, E., Kastrup, M., &amp; Jørgensen, A.-M. K. (2015). The Impact of Detention on the Health of Asylum Seekers: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11</w:t>
      </w:r>
      <w:r w:rsidRPr="00BD65EB">
        <w:rPr>
          <w:rFonts w:cs="Times New Roman"/>
          <w:noProof/>
          <w:szCs w:val="24"/>
        </w:rPr>
        <w:t>(1), 1–104. https://doi.org/https://doi.org/10.4073/csr.2015.13</w:t>
      </w:r>
    </w:p>
    <w:p w14:paraId="510CBA5B"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Filges, T., Siren, A., Fridberg, T., &amp; Nielsen, B. C. V. (2020). Voluntary work for the physical and mental health of older volunteers: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16</w:t>
      </w:r>
      <w:r w:rsidRPr="00BD65EB">
        <w:rPr>
          <w:rFonts w:cs="Times New Roman"/>
          <w:noProof/>
          <w:szCs w:val="24"/>
        </w:rPr>
        <w:t>(4), e1124. https://doi.org/https://doi.org/10.1002/cl2.1124</w:t>
      </w:r>
    </w:p>
    <w:p w14:paraId="70562333"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Filges, T., Smedslund, G., Eriksen, T., &amp; Birkefoss, K. (2023). PROTOCOL: The FRIENDS preventive programme for reducing anxiety symptoms in children and adolescents: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19</w:t>
      </w:r>
      <w:r w:rsidRPr="00BD65EB">
        <w:rPr>
          <w:rFonts w:cs="Times New Roman"/>
          <w:noProof/>
          <w:szCs w:val="24"/>
        </w:rPr>
        <w:t>(4), e1374. https://doi.org/https://doi.org/10.1002/cl2.1374</w:t>
      </w:r>
    </w:p>
    <w:p w14:paraId="33915C2E"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Filges, T., Sonne‐Schmidt, C. S., &amp; Nielsen, B. C. V. (2018). Small class sizes for improving student achievement in primary and secondary schools: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14</w:t>
      </w:r>
      <w:r w:rsidRPr="00BD65EB">
        <w:rPr>
          <w:rFonts w:cs="Times New Roman"/>
          <w:noProof/>
          <w:szCs w:val="24"/>
        </w:rPr>
        <w:t>(1), 1–107. https://doi.org/10.4073/csr.2018.10</w:t>
      </w:r>
    </w:p>
    <w:p w14:paraId="6A8A25E7"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lastRenderedPageBreak/>
        <w:t xml:space="preserve">Filges, T., Torgerson, C., Gascoine, L., Dietrichson, J., Nielsen, C., &amp; Viinholt, B. A. (2019). Effectiveness of continuing professional development training of welfare professionals on outcomes for children and young people: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15</w:t>
      </w:r>
      <w:r w:rsidRPr="00BD65EB">
        <w:rPr>
          <w:rFonts w:cs="Times New Roman"/>
          <w:noProof/>
          <w:szCs w:val="24"/>
        </w:rPr>
        <w:t>(4), e1060. https://doi.org/https://doi.org/10.1002/cl2.1060</w:t>
      </w:r>
    </w:p>
    <w:p w14:paraId="50DCFCE9"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19</w:t>
      </w:r>
      <w:r w:rsidRPr="00BD65EB">
        <w:rPr>
          <w:rFonts w:cs="Times New Roman"/>
          <w:noProof/>
          <w:szCs w:val="24"/>
        </w:rPr>
        <w:t>(2), e1321. https://doi.org/https://doi.org/10.1002/cl2.1321</w:t>
      </w:r>
    </w:p>
    <w:p w14:paraId="48DF695C"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Gargari, O. K., Mahmoudi, M. H., Hajisafarali, M., &amp; Samiee, R. (2024). Enhancing title and abstract screening for systematic reviews with GPT-3.5 turbo. </w:t>
      </w:r>
      <w:r w:rsidRPr="00BD65EB">
        <w:rPr>
          <w:rFonts w:cs="Times New Roman"/>
          <w:i/>
          <w:iCs/>
          <w:noProof/>
          <w:szCs w:val="24"/>
        </w:rPr>
        <w:t>BMJ Evidence-Based Medicine</w:t>
      </w:r>
      <w:r w:rsidRPr="00BD65EB">
        <w:rPr>
          <w:rFonts w:cs="Times New Roman"/>
          <w:noProof/>
          <w:szCs w:val="24"/>
        </w:rPr>
        <w:t xml:space="preserve">, </w:t>
      </w:r>
      <w:r w:rsidRPr="00BD65EB">
        <w:rPr>
          <w:rFonts w:cs="Times New Roman"/>
          <w:i/>
          <w:iCs/>
          <w:noProof/>
          <w:szCs w:val="24"/>
        </w:rPr>
        <w:t>29</w:t>
      </w:r>
      <w:r w:rsidRPr="00BD65EB">
        <w:rPr>
          <w:rFonts w:cs="Times New Roman"/>
          <w:noProof/>
          <w:szCs w:val="24"/>
        </w:rPr>
        <w:t>(1), 69 LP – 70. https://doi.org/10.1136/bmjebm-2023-112678</w:t>
      </w:r>
    </w:p>
    <w:p w14:paraId="3DD9CBC8"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8</w:t>
      </w:r>
      <w:r w:rsidRPr="00BD65EB">
        <w:rPr>
          <w:rFonts w:cs="Times New Roman"/>
          <w:noProof/>
          <w:szCs w:val="24"/>
        </w:rPr>
        <w:t>(1), 277. https://doi.org/10.1186/s13643-019-1221-3</w:t>
      </w:r>
    </w:p>
    <w:p w14:paraId="676B9DEE"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Gough, D., Oliver, S., &amp; Thomas, J. (2017). </w:t>
      </w:r>
      <w:r w:rsidRPr="00BD65EB">
        <w:rPr>
          <w:rFonts w:cs="Times New Roman"/>
          <w:i/>
          <w:iCs/>
          <w:noProof/>
          <w:szCs w:val="24"/>
        </w:rPr>
        <w:t>An introduction to systematic reviews</w:t>
      </w:r>
      <w:r w:rsidRPr="00BD65EB">
        <w:rPr>
          <w:rFonts w:cs="Times New Roman"/>
          <w:noProof/>
          <w:szCs w:val="24"/>
        </w:rPr>
        <w:t xml:space="preserve"> (2nd ed.). Sage.</w:t>
      </w:r>
    </w:p>
    <w:p w14:paraId="2696B158"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Guo, E., Gupta, M., Deng, J., Park, Y.-J., Paget, M., &amp; Naugler, C. (2024). Automated Paper Screening for Clinical Reviews Using Large Language Models: Data Analysis Study. </w:t>
      </w:r>
      <w:r w:rsidRPr="00BD65EB">
        <w:rPr>
          <w:rFonts w:cs="Times New Roman"/>
          <w:i/>
          <w:iCs/>
          <w:noProof/>
          <w:szCs w:val="24"/>
        </w:rPr>
        <w:t>J Med Internet Res</w:t>
      </w:r>
      <w:r w:rsidRPr="00BD65EB">
        <w:rPr>
          <w:rFonts w:cs="Times New Roman"/>
          <w:noProof/>
          <w:szCs w:val="24"/>
        </w:rPr>
        <w:t xml:space="preserve">, </w:t>
      </w:r>
      <w:r w:rsidRPr="00BD65EB">
        <w:rPr>
          <w:rFonts w:cs="Times New Roman"/>
          <w:i/>
          <w:iCs/>
          <w:noProof/>
          <w:szCs w:val="24"/>
        </w:rPr>
        <w:t>26</w:t>
      </w:r>
      <w:r w:rsidRPr="00BD65EB">
        <w:rPr>
          <w:rFonts w:cs="Times New Roman"/>
          <w:noProof/>
          <w:szCs w:val="24"/>
        </w:rPr>
        <w:t>, e48996. https://doi.org/10.2196/48996</w:t>
      </w:r>
    </w:p>
    <w:p w14:paraId="7E1E366F"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Hedges, L. V. (1992). Modeling Publication Selection Effects in Meta-Analysis. </w:t>
      </w:r>
      <w:r w:rsidRPr="00BD65EB">
        <w:rPr>
          <w:rFonts w:cs="Times New Roman"/>
          <w:i/>
          <w:iCs/>
          <w:noProof/>
          <w:szCs w:val="24"/>
        </w:rPr>
        <w:t>Statistical Science</w:t>
      </w:r>
      <w:r w:rsidRPr="00BD65EB">
        <w:rPr>
          <w:rFonts w:cs="Times New Roman"/>
          <w:noProof/>
          <w:szCs w:val="24"/>
        </w:rPr>
        <w:t xml:space="preserve">, </w:t>
      </w:r>
      <w:r w:rsidRPr="00BD65EB">
        <w:rPr>
          <w:rFonts w:cs="Times New Roman"/>
          <w:i/>
          <w:iCs/>
          <w:noProof/>
          <w:szCs w:val="24"/>
        </w:rPr>
        <w:t>7</w:t>
      </w:r>
      <w:r w:rsidRPr="00BD65EB">
        <w:rPr>
          <w:rFonts w:cs="Times New Roman"/>
          <w:noProof/>
          <w:szCs w:val="24"/>
        </w:rPr>
        <w:t>(2), 246–255. http://www.jstor.org/stable/2246311</w:t>
      </w:r>
    </w:p>
    <w:p w14:paraId="681B4CBD"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Higgins, J. P. T., Thomas, J., Chandler, J., Cumpston, M. S., Li, T., Page, M., &amp; Welch, V. (2019). </w:t>
      </w:r>
      <w:r w:rsidRPr="00BD65EB">
        <w:rPr>
          <w:rFonts w:cs="Times New Roman"/>
          <w:i/>
          <w:iCs/>
          <w:noProof/>
          <w:szCs w:val="24"/>
        </w:rPr>
        <w:t>Cochrane handbook for systematic reviews of interventions</w:t>
      </w:r>
      <w:r w:rsidRPr="00BD65EB">
        <w:rPr>
          <w:rFonts w:cs="Times New Roman"/>
          <w:noProof/>
          <w:szCs w:val="24"/>
        </w:rPr>
        <w:t xml:space="preserve"> (2nd ed.). Wiley Online Library. https://doi.org/10.1002/9781119536604</w:t>
      </w:r>
    </w:p>
    <w:p w14:paraId="7A5BD7C8"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Hou, Z., &amp; Tipton, E. (2024). Enhancing recall in automated record screening: A resampling algorithm.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n/a</w:t>
      </w:r>
      <w:r w:rsidRPr="00BD65EB">
        <w:rPr>
          <w:rFonts w:cs="Times New Roman"/>
          <w:noProof/>
          <w:szCs w:val="24"/>
        </w:rPr>
        <w:t>(n/a). https://doi.org/https://doi.org/10.1002/jrsm.1690</w:t>
      </w:r>
    </w:p>
    <w:p w14:paraId="30720DCA"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BD65EB">
        <w:rPr>
          <w:rFonts w:cs="Times New Roman"/>
          <w:i/>
          <w:iCs/>
          <w:noProof/>
          <w:szCs w:val="24"/>
        </w:rPr>
        <w:t>BMC Medical Research Methodology</w:t>
      </w:r>
      <w:r w:rsidRPr="00BD65EB">
        <w:rPr>
          <w:rFonts w:cs="Times New Roman"/>
          <w:noProof/>
          <w:szCs w:val="24"/>
        </w:rPr>
        <w:t xml:space="preserve">, </w:t>
      </w:r>
      <w:r w:rsidRPr="00BD65EB">
        <w:rPr>
          <w:rFonts w:cs="Times New Roman"/>
          <w:i/>
          <w:iCs/>
          <w:noProof/>
          <w:szCs w:val="24"/>
        </w:rPr>
        <w:t>24</w:t>
      </w:r>
      <w:r w:rsidRPr="00BD65EB">
        <w:rPr>
          <w:rFonts w:cs="Times New Roman"/>
          <w:noProof/>
          <w:szCs w:val="24"/>
        </w:rPr>
        <w:t>(1), 78. https://doi.org/10.1186/s12874-024-02203-8</w:t>
      </w:r>
    </w:p>
    <w:p w14:paraId="2287DB39"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Jardim, P. S. J., Borge, T. C., &amp; Johansen, T. B. (2021). </w:t>
      </w:r>
      <w:r w:rsidRPr="00BD65EB">
        <w:rPr>
          <w:rFonts w:cs="Times New Roman"/>
          <w:i/>
          <w:iCs/>
          <w:noProof/>
          <w:szCs w:val="24"/>
        </w:rPr>
        <w:t xml:space="preserve">Effekten av antipsykotika ved </w:t>
      </w:r>
      <w:r w:rsidRPr="00BD65EB">
        <w:rPr>
          <w:rFonts w:cs="Times New Roman"/>
          <w:i/>
          <w:iCs/>
          <w:noProof/>
          <w:szCs w:val="24"/>
        </w:rPr>
        <w:lastRenderedPageBreak/>
        <w:t>førstegangspsykose: en systematisk oversikt [The effect of antipsychotics on first episode psychosis]</w:t>
      </w:r>
      <w:r w:rsidRPr="00BD65EB">
        <w:rPr>
          <w:rFonts w:cs="Times New Roman"/>
          <w:noProof/>
          <w:szCs w:val="24"/>
        </w:rPr>
        <w:t>. https://fhi.no/publ/2021/effekten-av-antipsykotika-ved-forstegangspsykose/</w:t>
      </w:r>
    </w:p>
    <w:p w14:paraId="50F1CF35"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Johansen, T. B., Nøkleby, H., Langøien, L. J., &amp; Borge, T. C. (2022). </w:t>
      </w:r>
      <w:r w:rsidRPr="00BD65EB">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BD65EB">
        <w:rPr>
          <w:rFonts w:cs="Times New Roman"/>
          <w:noProof/>
          <w:szCs w:val="24"/>
        </w:rPr>
        <w:t>. https://www.fhi.no/publ/2022/samvars--og-bostedsordninger-etter-samlivsbrudd-betydninger-for-barn-og-ung/</w:t>
      </w:r>
    </w:p>
    <w:p w14:paraId="67A6F241"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Jonnalagadda, S. R., Goyal, P., &amp; Huffman, M. D. (2015). Automating data extraction in systematic reviews: a systematic review.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4</w:t>
      </w:r>
      <w:r w:rsidRPr="00BD65EB">
        <w:rPr>
          <w:rFonts w:cs="Times New Roman"/>
          <w:noProof/>
          <w:szCs w:val="24"/>
        </w:rPr>
        <w:t>(1), 78. https://doi.org/10.1186/s13643-015-0066-7</w:t>
      </w:r>
    </w:p>
    <w:p w14:paraId="0AA884D4"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n/a</w:t>
      </w:r>
      <w:r w:rsidRPr="00BD65EB">
        <w:rPr>
          <w:rFonts w:cs="Times New Roman"/>
          <w:noProof/>
          <w:szCs w:val="24"/>
        </w:rPr>
        <w:t>(n/a). https://doi.org/https://doi.org/10.1002/jrsm.1715</w:t>
      </w:r>
    </w:p>
    <w:p w14:paraId="7DFC6AFD"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König, L., Zitzmann, S., Fütterer, T., Campos, D. G., Scherer, R., &amp; Hecht, M. (2023). </w:t>
      </w:r>
      <w:r w:rsidRPr="00BD65EB">
        <w:rPr>
          <w:rFonts w:cs="Times New Roman"/>
          <w:i/>
          <w:iCs/>
          <w:noProof/>
          <w:szCs w:val="24"/>
        </w:rPr>
        <w:t>When to stop and what to expect—An Evaluation of the performance of stopping rules in AI-assisted reviewing for psychological meta-analytical research</w:t>
      </w:r>
      <w:r w:rsidRPr="00BD65EB">
        <w:rPr>
          <w:rFonts w:cs="Times New Roman"/>
          <w:noProof/>
          <w:szCs w:val="24"/>
        </w:rPr>
        <w:t>.</w:t>
      </w:r>
    </w:p>
    <w:p w14:paraId="57A17208"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Meneses Echavez, J. F., Borge, T. C., Nygård, H. T., Gaustad, J.-V., &amp; Hval, G. (2022). </w:t>
      </w:r>
      <w:r w:rsidRPr="00BD65EB">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BD65EB">
        <w:rPr>
          <w:rFonts w:cs="Times New Roman"/>
          <w:noProof/>
          <w:szCs w:val="24"/>
        </w:rPr>
        <w:t>. https://www.fhi.no/publ/2022/psykologisk-debriefing-for-helsepersonell-involvert-i-uonskede-pasienthende/</w:t>
      </w:r>
    </w:p>
    <w:p w14:paraId="67A07C23"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3</w:t>
      </w:r>
      <w:r w:rsidRPr="00BD65EB">
        <w:rPr>
          <w:rFonts w:cs="Times New Roman"/>
          <w:noProof/>
          <w:szCs w:val="24"/>
        </w:rPr>
        <w:t>, 1–8.</w:t>
      </w:r>
    </w:p>
    <w:p w14:paraId="12C745C0"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O’Connor, A. M., Tsafnat, G., Thomas, J., Glasziou, P., Gilbert, S. B., &amp; Hutton, B. (2019). A question of trust: can we build an evidence base to gain trust in systematic review automation technologies?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8</w:t>
      </w:r>
      <w:r w:rsidRPr="00BD65EB">
        <w:rPr>
          <w:rFonts w:cs="Times New Roman"/>
          <w:noProof/>
          <w:szCs w:val="24"/>
        </w:rPr>
        <w:t>(1), 1–8.</w:t>
      </w:r>
    </w:p>
    <w:p w14:paraId="01CB93F8"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O’Mara-Eves, A., Thomas, J., McNaught, J., Miwa, M., &amp; Ananiadou, S. (2015). Using text mining for study identification in systematic reviews: a systematic review of current approaches.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4</w:t>
      </w:r>
      <w:r w:rsidRPr="00BD65EB">
        <w:rPr>
          <w:rFonts w:cs="Times New Roman"/>
          <w:noProof/>
          <w:szCs w:val="24"/>
        </w:rPr>
        <w:t>(1), 1–22.</w:t>
      </w:r>
    </w:p>
    <w:p w14:paraId="79F853ED"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Olofsson, H., Brolund, A., Hellberg, C., Silverstein, R., Stenström, K., Österberg, M., &amp; </w:t>
      </w:r>
      <w:r w:rsidRPr="00BD65EB">
        <w:rPr>
          <w:rFonts w:cs="Times New Roman"/>
          <w:noProof/>
          <w:szCs w:val="24"/>
        </w:rPr>
        <w:lastRenderedPageBreak/>
        <w:t xml:space="preserve">Dagerhamn, J. (2017). Can abstract screening workload be reduced using text mining? User experiences of the tool Rayyan.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8</w:t>
      </w:r>
      <w:r w:rsidRPr="00BD65EB">
        <w:rPr>
          <w:rFonts w:cs="Times New Roman"/>
          <w:noProof/>
          <w:szCs w:val="24"/>
        </w:rPr>
        <w:t>(3), 275–280.</w:t>
      </w:r>
    </w:p>
    <w:p w14:paraId="46B8AC34"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Olorisade, B. K., Brereton, P., &amp; Andras, P. (2017). Reproducibility of studies on text mining for citation screening in systematic reviews: Evaluation and checklist. </w:t>
      </w:r>
      <w:r w:rsidRPr="00BD65EB">
        <w:rPr>
          <w:rFonts w:cs="Times New Roman"/>
          <w:i/>
          <w:iCs/>
          <w:noProof/>
          <w:szCs w:val="24"/>
        </w:rPr>
        <w:t>Journal of Biomedical Informatics</w:t>
      </w:r>
      <w:r w:rsidRPr="00BD65EB">
        <w:rPr>
          <w:rFonts w:cs="Times New Roman"/>
          <w:noProof/>
          <w:szCs w:val="24"/>
        </w:rPr>
        <w:t xml:space="preserve">, </w:t>
      </w:r>
      <w:r w:rsidRPr="00BD65EB">
        <w:rPr>
          <w:rFonts w:cs="Times New Roman"/>
          <w:i/>
          <w:iCs/>
          <w:noProof/>
          <w:szCs w:val="24"/>
        </w:rPr>
        <w:t>73</w:t>
      </w:r>
      <w:r w:rsidRPr="00BD65EB">
        <w:rPr>
          <w:rFonts w:cs="Times New Roman"/>
          <w:noProof/>
          <w:szCs w:val="24"/>
        </w:rPr>
        <w:t>, 1–13. https://doi.org/https://doi.org/10.1016/j.jbi.2017.07.010</w:t>
      </w:r>
    </w:p>
    <w:p w14:paraId="35B31019"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Olorisade, B. K., de Quincey, E., Brereton, P., &amp; Andras, P. (2016). A critical analysis of studies that address the use of text mining for citation screening in systematic reviews. </w:t>
      </w:r>
      <w:r w:rsidRPr="00BD65EB">
        <w:rPr>
          <w:rFonts w:cs="Times New Roman"/>
          <w:i/>
          <w:iCs/>
          <w:noProof/>
          <w:szCs w:val="24"/>
        </w:rPr>
        <w:t>Proceedings of the 20th International Conference on Evaluation and Assessment in Software Engineering</w:t>
      </w:r>
      <w:r w:rsidRPr="00BD65EB">
        <w:rPr>
          <w:rFonts w:cs="Times New Roman"/>
          <w:noProof/>
          <w:szCs w:val="24"/>
        </w:rPr>
        <w:t>, 1–11.</w:t>
      </w:r>
    </w:p>
    <w:p w14:paraId="317D5451"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OpenAI. (2024). </w:t>
      </w:r>
      <w:r w:rsidRPr="00BD65EB">
        <w:rPr>
          <w:rFonts w:cs="Times New Roman"/>
          <w:i/>
          <w:iCs/>
          <w:noProof/>
          <w:szCs w:val="24"/>
        </w:rPr>
        <w:t>Function calling</w:t>
      </w:r>
      <w:r w:rsidRPr="00BD65EB">
        <w:rPr>
          <w:rFonts w:cs="Times New Roman"/>
          <w:noProof/>
          <w:szCs w:val="24"/>
        </w:rPr>
        <w:t>. https://platform.openai.com/docs/guides/function-calling</w:t>
      </w:r>
    </w:p>
    <w:p w14:paraId="30187AF9"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Perlman‐Arrow, S., Loo, N., Bobrovitz, N., Yan, T., &amp; Arora, R. K. (2023). A real‐world evaluation of the implementation of NLP technology in abstract screening of a systematic review.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14</w:t>
      </w:r>
      <w:r w:rsidRPr="00BD65EB">
        <w:rPr>
          <w:rFonts w:cs="Times New Roman"/>
          <w:noProof/>
          <w:szCs w:val="24"/>
        </w:rPr>
        <w:t>(4), 608–621.</w:t>
      </w:r>
    </w:p>
    <w:p w14:paraId="36326A3D"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Polanin, J. R., Pigott, T. D., Espelage, D. L., &amp; Grotpeter, J. K. (2019). Best practice guidelines for abstract screening large-evidence systematic reviews and meta-analyses.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10</w:t>
      </w:r>
      <w:r w:rsidRPr="00BD65EB">
        <w:rPr>
          <w:rFonts w:cs="Times New Roman"/>
          <w:noProof/>
          <w:szCs w:val="24"/>
        </w:rPr>
        <w:t>(3), 330–342. https://doi.org/https://doi.org/10.1002/jrsm.1354</w:t>
      </w:r>
    </w:p>
    <w:p w14:paraId="47228073"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Rathbone, J., Hoffmann, T., &amp; Glasziou, P. (2015). Faster title and abstract screening? Evaluating Abstrackr, a semi-automated online screening program for systematic reviewers.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4</w:t>
      </w:r>
      <w:r w:rsidRPr="00BD65EB">
        <w:rPr>
          <w:rFonts w:cs="Times New Roman"/>
          <w:noProof/>
          <w:szCs w:val="24"/>
        </w:rPr>
        <w:t>(1), 1–7.</w:t>
      </w:r>
    </w:p>
    <w:p w14:paraId="11A690E6"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Rothstein, H. R., Sutton, A. J., &amp; Borenstein, M. (2005). Publication bias in meta-analysis. In H. R. Rothstein, A. J. Sutton, &amp; M. Borenstein (Eds.), </w:t>
      </w:r>
      <w:r w:rsidRPr="00BD65EB">
        <w:rPr>
          <w:rFonts w:cs="Times New Roman"/>
          <w:i/>
          <w:iCs/>
          <w:noProof/>
          <w:szCs w:val="24"/>
        </w:rPr>
        <w:t>Publication bias in meta-analysis: Prevention, assessment and adjustments</w:t>
      </w:r>
      <w:r w:rsidRPr="00BD65EB">
        <w:rPr>
          <w:rFonts w:cs="Times New Roman"/>
          <w:noProof/>
          <w:szCs w:val="24"/>
        </w:rPr>
        <w:t>. Wiley Online Library.</w:t>
      </w:r>
    </w:p>
    <w:p w14:paraId="3E118838"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Röver, C., &amp; Friede, T. (2022). Double arcsine transform not appropriate for meta-analysis.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13</w:t>
      </w:r>
      <w:r w:rsidRPr="00BD65EB">
        <w:rPr>
          <w:rFonts w:cs="Times New Roman"/>
          <w:noProof/>
          <w:szCs w:val="24"/>
        </w:rPr>
        <w:t>(5), 645–648. https://doi.org/https://doi.org/10.1002/jrsm.1591</w:t>
      </w:r>
    </w:p>
    <w:p w14:paraId="41A39CD1"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10</w:t>
      </w:r>
      <w:r w:rsidRPr="00BD65EB">
        <w:rPr>
          <w:rFonts w:cs="Times New Roman"/>
          <w:noProof/>
          <w:szCs w:val="24"/>
        </w:rPr>
        <w:t>(3), 476–483. https://doi.org/https://doi.org/10.1002/jrsm.1348</w:t>
      </w:r>
    </w:p>
    <w:p w14:paraId="3CC3DAEA"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Shadish, W. R., Cook, T. D., &amp; Campbell, D. T. (2002). </w:t>
      </w:r>
      <w:r w:rsidRPr="00BD65EB">
        <w:rPr>
          <w:rFonts w:cs="Times New Roman"/>
          <w:i/>
          <w:iCs/>
          <w:noProof/>
          <w:szCs w:val="24"/>
        </w:rPr>
        <w:t>Experimental and Quasi-Experimental Designs for Generalized Causal Inference</w:t>
      </w:r>
      <w:r w:rsidRPr="00BD65EB">
        <w:rPr>
          <w:rFonts w:cs="Times New Roman"/>
          <w:noProof/>
          <w:szCs w:val="24"/>
        </w:rPr>
        <w:t xml:space="preserve"> (2nd ed.). Cengage Learning, Inc.</w:t>
      </w:r>
    </w:p>
    <w:p w14:paraId="40B20672"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Shemilt, I., Khan, N., Park, S., &amp; Thomas, J. (2016). Use of cost-effectiveness analysis to compare the efficiency of study identification methods in systematic reviews.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5</w:t>
      </w:r>
      <w:r w:rsidRPr="00BD65EB">
        <w:rPr>
          <w:rFonts w:cs="Times New Roman"/>
          <w:noProof/>
          <w:szCs w:val="24"/>
        </w:rPr>
        <w:t>, 1–</w:t>
      </w:r>
      <w:r w:rsidRPr="00BD65EB">
        <w:rPr>
          <w:rFonts w:cs="Times New Roman"/>
          <w:noProof/>
          <w:szCs w:val="24"/>
        </w:rPr>
        <w:lastRenderedPageBreak/>
        <w:t>13.</w:t>
      </w:r>
    </w:p>
    <w:p w14:paraId="08AE092D"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5</w:t>
      </w:r>
      <w:r w:rsidRPr="00BD65EB">
        <w:rPr>
          <w:rFonts w:cs="Times New Roman"/>
          <w:noProof/>
          <w:szCs w:val="24"/>
        </w:rPr>
        <w:t>(1), 31–49. https://doi.org/https://doi.org/10.1002/jrsm.1093</w:t>
      </w:r>
    </w:p>
    <w:p w14:paraId="17A2BAF2"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Stoll, C. R. T., Izadi, S., Fowler, S., Green, P., Suls, J., &amp; Colditz, G. A. (2019). The value of a second reviewer for study selection in systematic reviews. </w:t>
      </w:r>
      <w:r w:rsidRPr="00BD65EB">
        <w:rPr>
          <w:rFonts w:cs="Times New Roman"/>
          <w:i/>
          <w:iCs/>
          <w:noProof/>
          <w:szCs w:val="24"/>
        </w:rPr>
        <w:t>Research Synthesis Methods</w:t>
      </w:r>
      <w:r w:rsidRPr="00BD65EB">
        <w:rPr>
          <w:rFonts w:cs="Times New Roman"/>
          <w:noProof/>
          <w:szCs w:val="24"/>
        </w:rPr>
        <w:t xml:space="preserve">, </w:t>
      </w:r>
      <w:r w:rsidRPr="00BD65EB">
        <w:rPr>
          <w:rFonts w:cs="Times New Roman"/>
          <w:i/>
          <w:iCs/>
          <w:noProof/>
          <w:szCs w:val="24"/>
        </w:rPr>
        <w:t>10</w:t>
      </w:r>
      <w:r w:rsidRPr="00BD65EB">
        <w:rPr>
          <w:rFonts w:cs="Times New Roman"/>
          <w:noProof/>
          <w:szCs w:val="24"/>
        </w:rPr>
        <w:t>(4), 539–545. https://doi.org/10.1002/jrsm.1369</w:t>
      </w:r>
    </w:p>
    <w:p w14:paraId="58EAA736"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Syriani, E., David, I., &amp; Kumar, G. (2023). Assessing the Ability of ChatGPT to Screen Articles for Systematic Reviews. </w:t>
      </w:r>
      <w:r w:rsidRPr="00BD65EB">
        <w:rPr>
          <w:rFonts w:cs="Times New Roman"/>
          <w:i/>
          <w:iCs/>
          <w:noProof/>
          <w:szCs w:val="24"/>
        </w:rPr>
        <w:t>ArXiv Preprint ArXiv:2307.06464</w:t>
      </w:r>
      <w:r w:rsidRPr="00BD65EB">
        <w:rPr>
          <w:rFonts w:cs="Times New Roman"/>
          <w:noProof/>
          <w:szCs w:val="24"/>
        </w:rPr>
        <w:t>.</w:t>
      </w:r>
    </w:p>
    <w:p w14:paraId="3D1D9F87"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Thomsen, M. K., Seerup, J. K., Dietrichson, J., Bondebjerg, A., &amp; Viinholt, B. C. A. (2022). PROTOCOL: Testing frequency and student achievement: A systematic review. </w:t>
      </w:r>
      <w:r w:rsidRPr="00BD65EB">
        <w:rPr>
          <w:rFonts w:cs="Times New Roman"/>
          <w:i/>
          <w:iCs/>
          <w:noProof/>
          <w:szCs w:val="24"/>
        </w:rPr>
        <w:t>Campbell Systematic Reviews</w:t>
      </w:r>
      <w:r w:rsidRPr="00BD65EB">
        <w:rPr>
          <w:rFonts w:cs="Times New Roman"/>
          <w:noProof/>
          <w:szCs w:val="24"/>
        </w:rPr>
        <w:t xml:space="preserve">, </w:t>
      </w:r>
      <w:r w:rsidRPr="00BD65EB">
        <w:rPr>
          <w:rFonts w:cs="Times New Roman"/>
          <w:i/>
          <w:iCs/>
          <w:noProof/>
          <w:szCs w:val="24"/>
        </w:rPr>
        <w:t>18</w:t>
      </w:r>
      <w:r w:rsidRPr="00BD65EB">
        <w:rPr>
          <w:rFonts w:cs="Times New Roman"/>
          <w:noProof/>
          <w:szCs w:val="24"/>
        </w:rPr>
        <w:t>(1), e1212. https://doi.org/https://doi.org/10.1002/cl2.1212</w:t>
      </w:r>
    </w:p>
    <w:p w14:paraId="347DE0E0"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Tsafnat, G., Glasziou, P., Choong, M. K., Dunn, A., Galgani, F., &amp; Coiera, E. (2014). Systematic review automation technologies. </w:t>
      </w:r>
      <w:r w:rsidRPr="00BD65EB">
        <w:rPr>
          <w:rFonts w:cs="Times New Roman"/>
          <w:i/>
          <w:iCs/>
          <w:noProof/>
          <w:szCs w:val="24"/>
        </w:rPr>
        <w:t>Systematic Reviews</w:t>
      </w:r>
      <w:r w:rsidRPr="00BD65EB">
        <w:rPr>
          <w:rFonts w:cs="Times New Roman"/>
          <w:noProof/>
          <w:szCs w:val="24"/>
        </w:rPr>
        <w:t xml:space="preserve">, </w:t>
      </w:r>
      <w:r w:rsidRPr="00BD65EB">
        <w:rPr>
          <w:rFonts w:cs="Times New Roman"/>
          <w:i/>
          <w:iCs/>
          <w:noProof/>
          <w:szCs w:val="24"/>
        </w:rPr>
        <w:t>3</w:t>
      </w:r>
      <w:r w:rsidRPr="00BD65EB">
        <w:rPr>
          <w:rFonts w:cs="Times New Roman"/>
          <w:noProof/>
          <w:szCs w:val="24"/>
        </w:rPr>
        <w:t>(1), 74. https://doi.org/10.1186/2046-4053-3-74</w:t>
      </w:r>
    </w:p>
    <w:p w14:paraId="5C28BB41"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BD65EB">
        <w:rPr>
          <w:rFonts w:cs="Times New Roman"/>
          <w:i/>
          <w:iCs/>
          <w:noProof/>
          <w:szCs w:val="24"/>
        </w:rPr>
        <w:t>Nature Machine Intelligence</w:t>
      </w:r>
      <w:r w:rsidRPr="00BD65EB">
        <w:rPr>
          <w:rFonts w:cs="Times New Roman"/>
          <w:noProof/>
          <w:szCs w:val="24"/>
        </w:rPr>
        <w:t xml:space="preserve">, </w:t>
      </w:r>
      <w:r w:rsidRPr="00BD65EB">
        <w:rPr>
          <w:rFonts w:cs="Times New Roman"/>
          <w:i/>
          <w:iCs/>
          <w:noProof/>
          <w:szCs w:val="24"/>
        </w:rPr>
        <w:t>3</w:t>
      </w:r>
      <w:r w:rsidRPr="00BD65EB">
        <w:rPr>
          <w:rFonts w:cs="Times New Roman"/>
          <w:noProof/>
          <w:szCs w:val="24"/>
        </w:rPr>
        <w:t>(2), 125–133.</w:t>
      </w:r>
    </w:p>
    <w:p w14:paraId="21A48A33"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Viechtbauer, W. (2022). </w:t>
      </w:r>
      <w:r w:rsidRPr="00BD65EB">
        <w:rPr>
          <w:rFonts w:cs="Times New Roman"/>
          <w:i/>
          <w:iCs/>
          <w:noProof/>
          <w:szCs w:val="24"/>
        </w:rPr>
        <w:t>Miller (1978)</w:t>
      </w:r>
      <w:r w:rsidRPr="00BD65EB">
        <w:rPr>
          <w:rFonts w:cs="Times New Roman"/>
          <w:noProof/>
          <w:szCs w:val="24"/>
        </w:rPr>
        <w:t>. https://www.metafor-project.org/doku.php/analyses:miller1978?s[]=proportion</w:t>
      </w:r>
    </w:p>
    <w:p w14:paraId="40569B59"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szCs w:val="24"/>
        </w:rPr>
      </w:pPr>
      <w:r w:rsidRPr="00BD65EB">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BD65EB">
        <w:rPr>
          <w:rFonts w:cs="Times New Roman"/>
          <w:i/>
          <w:iCs/>
          <w:noProof/>
          <w:szCs w:val="24"/>
        </w:rPr>
        <w:t>BMC Medical Research Methodology</w:t>
      </w:r>
      <w:r w:rsidRPr="00BD65EB">
        <w:rPr>
          <w:rFonts w:cs="Times New Roman"/>
          <w:noProof/>
          <w:szCs w:val="24"/>
        </w:rPr>
        <w:t xml:space="preserve">, </w:t>
      </w:r>
      <w:r w:rsidRPr="00BD65EB">
        <w:rPr>
          <w:rFonts w:cs="Times New Roman"/>
          <w:i/>
          <w:iCs/>
          <w:noProof/>
          <w:szCs w:val="24"/>
        </w:rPr>
        <w:t>19</w:t>
      </w:r>
      <w:r w:rsidRPr="00BD65EB">
        <w:rPr>
          <w:rFonts w:cs="Times New Roman"/>
          <w:noProof/>
          <w:szCs w:val="24"/>
        </w:rPr>
        <w:t>(1), 132. https://doi.org/10.1186/s12874-019-0782-0</w:t>
      </w:r>
    </w:p>
    <w:p w14:paraId="5592707C" w14:textId="77777777" w:rsidR="00BD65EB" w:rsidRPr="00BD65EB" w:rsidRDefault="00BD65EB" w:rsidP="00BD65EB">
      <w:pPr>
        <w:widowControl w:val="0"/>
        <w:autoSpaceDE w:val="0"/>
        <w:autoSpaceDN w:val="0"/>
        <w:adjustRightInd w:val="0"/>
        <w:spacing w:after="0" w:line="360" w:lineRule="auto"/>
        <w:ind w:left="480" w:hanging="480"/>
        <w:rPr>
          <w:rFonts w:cs="Times New Roman"/>
          <w:noProof/>
        </w:rPr>
      </w:pPr>
      <w:r w:rsidRPr="00BD65EB">
        <w:rPr>
          <w:rFonts w:cs="Times New Roman"/>
          <w:noProof/>
          <w:szCs w:val="24"/>
        </w:rPr>
        <w:t xml:space="preserve">Wang, Z., Nayfeh, T., Tetzlaff, J., O’Blenis, P., &amp; Murad, M. H. (2020). Error rates of human reviewers during abstract screening in systematic reviews. </w:t>
      </w:r>
      <w:r w:rsidRPr="00BD65EB">
        <w:rPr>
          <w:rFonts w:cs="Times New Roman"/>
          <w:i/>
          <w:iCs/>
          <w:noProof/>
          <w:szCs w:val="24"/>
        </w:rPr>
        <w:t>PloS One</w:t>
      </w:r>
      <w:r w:rsidRPr="00BD65EB">
        <w:rPr>
          <w:rFonts w:cs="Times New Roman"/>
          <w:noProof/>
          <w:szCs w:val="24"/>
        </w:rPr>
        <w:t xml:space="preserve">, </w:t>
      </w:r>
      <w:r w:rsidRPr="00BD65EB">
        <w:rPr>
          <w:rFonts w:cs="Times New Roman"/>
          <w:i/>
          <w:iCs/>
          <w:noProof/>
          <w:szCs w:val="24"/>
        </w:rPr>
        <w:t>15</w:t>
      </w:r>
      <w:r w:rsidRPr="00BD65EB">
        <w:rPr>
          <w:rFonts w:cs="Times New Roman"/>
          <w:noProof/>
          <w:szCs w:val="24"/>
        </w:rPr>
        <w:t>(1), e0227742.</w:t>
      </w:r>
    </w:p>
    <w:p w14:paraId="0E4E3EC9" w14:textId="77777777" w:rsidR="00A23F06" w:rsidRDefault="00A23F06" w:rsidP="006F63D8">
      <w:pPr>
        <w:spacing w:after="0" w:line="360" w:lineRule="auto"/>
      </w:pPr>
      <w:r>
        <w:fldChar w:fldCharType="end"/>
      </w:r>
    </w:p>
    <w:sectPr w:rsidR="00A23F06">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2" w:author="Mikkel Helding Vembye" w:date="2024-01-30T14:23:00Z" w:initials="MHV">
    <w:p w14:paraId="3A862896" w14:textId="37F5FF74" w:rsidR="007263A3" w:rsidRPr="0011702D" w:rsidRDefault="007263A3">
      <w:pPr>
        <w:pStyle w:val="CommentText"/>
        <w:rPr>
          <w:lang w:val="en-US"/>
        </w:rPr>
      </w:pPr>
      <w:r>
        <w:rPr>
          <w:rStyle w:val="CommentReference"/>
        </w:rPr>
        <w:annotationRef/>
      </w:r>
      <w:r w:rsidRPr="0011702D">
        <w:rPr>
          <w:lang w:val="en-US"/>
        </w:rPr>
        <w:t xml:space="preserve">Extra </w:t>
      </w:r>
      <w:r w:rsidRPr="0011702D">
        <w:rPr>
          <w:rStyle w:val="translation"/>
          <w:lang w:val="en-US"/>
        </w:rPr>
        <w:t>security</w:t>
      </w:r>
    </w:p>
  </w:comment>
  <w:comment w:id="3" w:author="Mikkel Helding Vembye" w:date="2024-01-31T09:30:00Z" w:initials="MHV">
    <w:p w14:paraId="42CB394E" w14:textId="628948A2" w:rsidR="007B03A8" w:rsidRPr="0011702D" w:rsidRDefault="007B03A8">
      <w:pPr>
        <w:pStyle w:val="CommentText"/>
        <w:rPr>
          <w:lang w:val="en-US"/>
        </w:rPr>
      </w:pPr>
      <w:r>
        <w:rPr>
          <w:rStyle w:val="CommentReference"/>
        </w:rPr>
        <w:annotationRef/>
      </w:r>
      <w:r w:rsidRPr="0011702D">
        <w:rPr>
          <w:lang w:val="en-US"/>
        </w:rPr>
        <w:t>Check this - – this results seem to vary from the table</w:t>
      </w:r>
    </w:p>
  </w:comment>
  <w:comment w:id="4" w:author="Mikkel Helding Vembye" w:date="2024-01-31T09:32:00Z" w:initials="MHV">
    <w:p w14:paraId="3D6DE49E" w14:textId="402D72CA" w:rsidR="007B03A8" w:rsidRPr="0011702D" w:rsidRDefault="007B03A8">
      <w:pPr>
        <w:pStyle w:val="CommentText"/>
        <w:rPr>
          <w:lang w:val="en-US"/>
        </w:rPr>
      </w:pPr>
      <w:r>
        <w:rPr>
          <w:rStyle w:val="CommentReference"/>
        </w:rPr>
        <w:annotationRef/>
      </w:r>
      <w:r w:rsidRPr="0011702D">
        <w:rPr>
          <w:lang w:val="en-US"/>
        </w:rPr>
        <w:t>Check this – this results seem to vary from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A862896" w15:done="0"/>
  <w15:commentEx w15:paraId="42CB394E" w15:done="0"/>
  <w15:commentEx w15:paraId="3D6DE4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A862896" w16cid:durableId="296384D1"/>
  <w16cid:commentId w16cid:paraId="42CB394E" w16cid:durableId="296491BE"/>
  <w16cid:commentId w16cid:paraId="3D6DE49E" w16cid:durableId="296492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3296E" w14:textId="77777777" w:rsidR="00A24F5E" w:rsidRDefault="00A24F5E" w:rsidP="00E22B11">
      <w:pPr>
        <w:spacing w:after="0" w:line="240" w:lineRule="auto"/>
      </w:pPr>
      <w:r>
        <w:separator/>
      </w:r>
    </w:p>
  </w:endnote>
  <w:endnote w:type="continuationSeparator" w:id="0">
    <w:p w14:paraId="3FDA4C50" w14:textId="77777777" w:rsidR="00A24F5E" w:rsidRDefault="00A24F5E"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02A8A" w14:textId="77777777" w:rsidR="00A24F5E" w:rsidRDefault="00A24F5E" w:rsidP="00E22B11">
      <w:pPr>
        <w:spacing w:after="0" w:line="240" w:lineRule="auto"/>
      </w:pPr>
      <w:r>
        <w:separator/>
      </w:r>
    </w:p>
  </w:footnote>
  <w:footnote w:type="continuationSeparator" w:id="0">
    <w:p w14:paraId="6C2D991A" w14:textId="77777777" w:rsidR="00A24F5E" w:rsidRDefault="00A24F5E"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asFADMHX74tAAAA"/>
  </w:docVars>
  <w:rsids>
    <w:rsidRoot w:val="00A23F06"/>
    <w:rsid w:val="00002939"/>
    <w:rsid w:val="00004D10"/>
    <w:rsid w:val="00005B30"/>
    <w:rsid w:val="00014A6B"/>
    <w:rsid w:val="00015556"/>
    <w:rsid w:val="00024398"/>
    <w:rsid w:val="000345DE"/>
    <w:rsid w:val="000378D0"/>
    <w:rsid w:val="000414F1"/>
    <w:rsid w:val="00043140"/>
    <w:rsid w:val="00045E62"/>
    <w:rsid w:val="00050C10"/>
    <w:rsid w:val="000526D6"/>
    <w:rsid w:val="000624AA"/>
    <w:rsid w:val="00066D16"/>
    <w:rsid w:val="00074BF1"/>
    <w:rsid w:val="000765AE"/>
    <w:rsid w:val="00077B9E"/>
    <w:rsid w:val="0008000E"/>
    <w:rsid w:val="00081125"/>
    <w:rsid w:val="0008295A"/>
    <w:rsid w:val="000851F2"/>
    <w:rsid w:val="0009296A"/>
    <w:rsid w:val="000B1D78"/>
    <w:rsid w:val="000B216F"/>
    <w:rsid w:val="000D2E6D"/>
    <w:rsid w:val="000D620B"/>
    <w:rsid w:val="000F506E"/>
    <w:rsid w:val="000F56A9"/>
    <w:rsid w:val="00107C28"/>
    <w:rsid w:val="00114402"/>
    <w:rsid w:val="0011702D"/>
    <w:rsid w:val="00117829"/>
    <w:rsid w:val="00136452"/>
    <w:rsid w:val="00142CFE"/>
    <w:rsid w:val="00144033"/>
    <w:rsid w:val="00145A2B"/>
    <w:rsid w:val="00146C5D"/>
    <w:rsid w:val="001472F2"/>
    <w:rsid w:val="00155358"/>
    <w:rsid w:val="00157855"/>
    <w:rsid w:val="001608CA"/>
    <w:rsid w:val="00165D32"/>
    <w:rsid w:val="00167EBB"/>
    <w:rsid w:val="00173371"/>
    <w:rsid w:val="00186531"/>
    <w:rsid w:val="00194CBC"/>
    <w:rsid w:val="001A14D6"/>
    <w:rsid w:val="001A4320"/>
    <w:rsid w:val="001B592D"/>
    <w:rsid w:val="001B5D51"/>
    <w:rsid w:val="001B7CFE"/>
    <w:rsid w:val="001D4611"/>
    <w:rsid w:val="001F0247"/>
    <w:rsid w:val="001F0CFC"/>
    <w:rsid w:val="001F3EE3"/>
    <w:rsid w:val="001F4910"/>
    <w:rsid w:val="001F7678"/>
    <w:rsid w:val="00200F7D"/>
    <w:rsid w:val="00213868"/>
    <w:rsid w:val="00220AA0"/>
    <w:rsid w:val="00234C3D"/>
    <w:rsid w:val="0023752B"/>
    <w:rsid w:val="00246F91"/>
    <w:rsid w:val="0025186E"/>
    <w:rsid w:val="00253BEB"/>
    <w:rsid w:val="00256D62"/>
    <w:rsid w:val="00263C8C"/>
    <w:rsid w:val="00272D9E"/>
    <w:rsid w:val="00276A96"/>
    <w:rsid w:val="00280EB1"/>
    <w:rsid w:val="00285183"/>
    <w:rsid w:val="00286F4E"/>
    <w:rsid w:val="00296111"/>
    <w:rsid w:val="002A499D"/>
    <w:rsid w:val="002B7442"/>
    <w:rsid w:val="002C730A"/>
    <w:rsid w:val="002D264A"/>
    <w:rsid w:val="002D531B"/>
    <w:rsid w:val="002D68F8"/>
    <w:rsid w:val="002E322D"/>
    <w:rsid w:val="002F4D99"/>
    <w:rsid w:val="002F53FE"/>
    <w:rsid w:val="00303077"/>
    <w:rsid w:val="00310D56"/>
    <w:rsid w:val="00310E18"/>
    <w:rsid w:val="00311D80"/>
    <w:rsid w:val="00317DE3"/>
    <w:rsid w:val="00317EDB"/>
    <w:rsid w:val="00323F25"/>
    <w:rsid w:val="003343F7"/>
    <w:rsid w:val="00334757"/>
    <w:rsid w:val="00340FDD"/>
    <w:rsid w:val="00351B92"/>
    <w:rsid w:val="003538EF"/>
    <w:rsid w:val="00356322"/>
    <w:rsid w:val="00357147"/>
    <w:rsid w:val="00363B05"/>
    <w:rsid w:val="00371CD1"/>
    <w:rsid w:val="00377405"/>
    <w:rsid w:val="00382F5D"/>
    <w:rsid w:val="00392867"/>
    <w:rsid w:val="00393721"/>
    <w:rsid w:val="0039413B"/>
    <w:rsid w:val="003A2CC6"/>
    <w:rsid w:val="003B4C84"/>
    <w:rsid w:val="003C57F2"/>
    <w:rsid w:val="003C7425"/>
    <w:rsid w:val="003D3EC1"/>
    <w:rsid w:val="003D5914"/>
    <w:rsid w:val="00410211"/>
    <w:rsid w:val="004107D8"/>
    <w:rsid w:val="00410E00"/>
    <w:rsid w:val="00411ACF"/>
    <w:rsid w:val="00423D5E"/>
    <w:rsid w:val="00430E43"/>
    <w:rsid w:val="004315B1"/>
    <w:rsid w:val="00441345"/>
    <w:rsid w:val="00447BAE"/>
    <w:rsid w:val="00456430"/>
    <w:rsid w:val="00466B16"/>
    <w:rsid w:val="00467E10"/>
    <w:rsid w:val="0047024E"/>
    <w:rsid w:val="00476BB4"/>
    <w:rsid w:val="004808CD"/>
    <w:rsid w:val="00495581"/>
    <w:rsid w:val="00495C59"/>
    <w:rsid w:val="00496CC9"/>
    <w:rsid w:val="004B04C7"/>
    <w:rsid w:val="004B3496"/>
    <w:rsid w:val="004E1A95"/>
    <w:rsid w:val="004F1EC5"/>
    <w:rsid w:val="00502155"/>
    <w:rsid w:val="005052F2"/>
    <w:rsid w:val="005107D8"/>
    <w:rsid w:val="0051383B"/>
    <w:rsid w:val="00520939"/>
    <w:rsid w:val="00521E21"/>
    <w:rsid w:val="00525CCC"/>
    <w:rsid w:val="005322D3"/>
    <w:rsid w:val="00533A66"/>
    <w:rsid w:val="005374FF"/>
    <w:rsid w:val="00540D17"/>
    <w:rsid w:val="0054144B"/>
    <w:rsid w:val="00542711"/>
    <w:rsid w:val="00542A3C"/>
    <w:rsid w:val="005460FC"/>
    <w:rsid w:val="00557919"/>
    <w:rsid w:val="00557E46"/>
    <w:rsid w:val="005661A8"/>
    <w:rsid w:val="00570DE3"/>
    <w:rsid w:val="00570E6D"/>
    <w:rsid w:val="0057606E"/>
    <w:rsid w:val="00595810"/>
    <w:rsid w:val="005A61A3"/>
    <w:rsid w:val="005C01DD"/>
    <w:rsid w:val="005C149D"/>
    <w:rsid w:val="005C61C0"/>
    <w:rsid w:val="005C6CFD"/>
    <w:rsid w:val="005D0384"/>
    <w:rsid w:val="005D50DA"/>
    <w:rsid w:val="005E3081"/>
    <w:rsid w:val="005F5FAC"/>
    <w:rsid w:val="005F7456"/>
    <w:rsid w:val="006057E3"/>
    <w:rsid w:val="00606EFD"/>
    <w:rsid w:val="00611107"/>
    <w:rsid w:val="006118FB"/>
    <w:rsid w:val="006156B4"/>
    <w:rsid w:val="00625587"/>
    <w:rsid w:val="006417A3"/>
    <w:rsid w:val="006433DF"/>
    <w:rsid w:val="00646458"/>
    <w:rsid w:val="00663E77"/>
    <w:rsid w:val="00672E8D"/>
    <w:rsid w:val="006747EC"/>
    <w:rsid w:val="0069033F"/>
    <w:rsid w:val="00690BFB"/>
    <w:rsid w:val="006A5825"/>
    <w:rsid w:val="006A6649"/>
    <w:rsid w:val="006A74AC"/>
    <w:rsid w:val="006B6642"/>
    <w:rsid w:val="006C1FAB"/>
    <w:rsid w:val="006C7126"/>
    <w:rsid w:val="006C76E0"/>
    <w:rsid w:val="006D577C"/>
    <w:rsid w:val="006D57CE"/>
    <w:rsid w:val="006D796F"/>
    <w:rsid w:val="006E5DFF"/>
    <w:rsid w:val="006E76C1"/>
    <w:rsid w:val="006E7DA1"/>
    <w:rsid w:val="006F63D8"/>
    <w:rsid w:val="00704CC4"/>
    <w:rsid w:val="007130DD"/>
    <w:rsid w:val="007263A3"/>
    <w:rsid w:val="0072792A"/>
    <w:rsid w:val="007318B3"/>
    <w:rsid w:val="00732822"/>
    <w:rsid w:val="007332FC"/>
    <w:rsid w:val="007340E8"/>
    <w:rsid w:val="007346FF"/>
    <w:rsid w:val="00734ACC"/>
    <w:rsid w:val="007355A1"/>
    <w:rsid w:val="00735FFC"/>
    <w:rsid w:val="00740B8D"/>
    <w:rsid w:val="00743CF7"/>
    <w:rsid w:val="00747C76"/>
    <w:rsid w:val="00752C13"/>
    <w:rsid w:val="00754FC8"/>
    <w:rsid w:val="00785285"/>
    <w:rsid w:val="00793B6A"/>
    <w:rsid w:val="007948B5"/>
    <w:rsid w:val="007A5754"/>
    <w:rsid w:val="007B03A8"/>
    <w:rsid w:val="007B4CDF"/>
    <w:rsid w:val="007B5F92"/>
    <w:rsid w:val="007D01EA"/>
    <w:rsid w:val="007D199E"/>
    <w:rsid w:val="007E73D4"/>
    <w:rsid w:val="007F58AE"/>
    <w:rsid w:val="007F5CA3"/>
    <w:rsid w:val="00802447"/>
    <w:rsid w:val="00803181"/>
    <w:rsid w:val="00804FD5"/>
    <w:rsid w:val="00806F5B"/>
    <w:rsid w:val="00807874"/>
    <w:rsid w:val="00811203"/>
    <w:rsid w:val="008120A4"/>
    <w:rsid w:val="008228C7"/>
    <w:rsid w:val="00826232"/>
    <w:rsid w:val="00826945"/>
    <w:rsid w:val="00831924"/>
    <w:rsid w:val="00836421"/>
    <w:rsid w:val="0084703D"/>
    <w:rsid w:val="00856BA9"/>
    <w:rsid w:val="00860934"/>
    <w:rsid w:val="00871275"/>
    <w:rsid w:val="008802B3"/>
    <w:rsid w:val="00880700"/>
    <w:rsid w:val="008809B3"/>
    <w:rsid w:val="00881112"/>
    <w:rsid w:val="00890ED0"/>
    <w:rsid w:val="00891AD7"/>
    <w:rsid w:val="0089339C"/>
    <w:rsid w:val="0089387E"/>
    <w:rsid w:val="008A385E"/>
    <w:rsid w:val="008A5716"/>
    <w:rsid w:val="008B330E"/>
    <w:rsid w:val="008B5C84"/>
    <w:rsid w:val="008C3F74"/>
    <w:rsid w:val="008C5665"/>
    <w:rsid w:val="008C7FAA"/>
    <w:rsid w:val="008D1FE3"/>
    <w:rsid w:val="008D3308"/>
    <w:rsid w:val="008E12A3"/>
    <w:rsid w:val="008E1A47"/>
    <w:rsid w:val="008E4A35"/>
    <w:rsid w:val="008F0252"/>
    <w:rsid w:val="008F1538"/>
    <w:rsid w:val="008F3446"/>
    <w:rsid w:val="008F5E22"/>
    <w:rsid w:val="008F73ED"/>
    <w:rsid w:val="009044A0"/>
    <w:rsid w:val="00905C8C"/>
    <w:rsid w:val="009125FA"/>
    <w:rsid w:val="00927057"/>
    <w:rsid w:val="00932CB0"/>
    <w:rsid w:val="00950F4A"/>
    <w:rsid w:val="00953421"/>
    <w:rsid w:val="00962924"/>
    <w:rsid w:val="00974422"/>
    <w:rsid w:val="0098255F"/>
    <w:rsid w:val="009854F9"/>
    <w:rsid w:val="00985796"/>
    <w:rsid w:val="009867F7"/>
    <w:rsid w:val="009A0C73"/>
    <w:rsid w:val="009A0FAE"/>
    <w:rsid w:val="009A757B"/>
    <w:rsid w:val="009A7B19"/>
    <w:rsid w:val="009B29FF"/>
    <w:rsid w:val="009B4B6E"/>
    <w:rsid w:val="009D3333"/>
    <w:rsid w:val="009E0ED5"/>
    <w:rsid w:val="009F7526"/>
    <w:rsid w:val="009F7953"/>
    <w:rsid w:val="00A005F9"/>
    <w:rsid w:val="00A10243"/>
    <w:rsid w:val="00A13E90"/>
    <w:rsid w:val="00A2293C"/>
    <w:rsid w:val="00A23F06"/>
    <w:rsid w:val="00A24F5E"/>
    <w:rsid w:val="00A25FC2"/>
    <w:rsid w:val="00A4058B"/>
    <w:rsid w:val="00A40E4F"/>
    <w:rsid w:val="00A44FFC"/>
    <w:rsid w:val="00A4653A"/>
    <w:rsid w:val="00A473E7"/>
    <w:rsid w:val="00A529FE"/>
    <w:rsid w:val="00A53F1F"/>
    <w:rsid w:val="00A54E70"/>
    <w:rsid w:val="00A63955"/>
    <w:rsid w:val="00A6591A"/>
    <w:rsid w:val="00A86CFD"/>
    <w:rsid w:val="00A90284"/>
    <w:rsid w:val="00A907B9"/>
    <w:rsid w:val="00A97287"/>
    <w:rsid w:val="00AA4BB7"/>
    <w:rsid w:val="00AA699A"/>
    <w:rsid w:val="00AB0F15"/>
    <w:rsid w:val="00AB299A"/>
    <w:rsid w:val="00AB4492"/>
    <w:rsid w:val="00AC200B"/>
    <w:rsid w:val="00AC7465"/>
    <w:rsid w:val="00AD3408"/>
    <w:rsid w:val="00AD612C"/>
    <w:rsid w:val="00AD7055"/>
    <w:rsid w:val="00AE4081"/>
    <w:rsid w:val="00AF1FF2"/>
    <w:rsid w:val="00AF4595"/>
    <w:rsid w:val="00AF690D"/>
    <w:rsid w:val="00B030B9"/>
    <w:rsid w:val="00B11511"/>
    <w:rsid w:val="00B11F8C"/>
    <w:rsid w:val="00B120A6"/>
    <w:rsid w:val="00B1564C"/>
    <w:rsid w:val="00B20225"/>
    <w:rsid w:val="00B270BF"/>
    <w:rsid w:val="00B53BDD"/>
    <w:rsid w:val="00B54EC3"/>
    <w:rsid w:val="00B55A11"/>
    <w:rsid w:val="00B561CE"/>
    <w:rsid w:val="00B6152F"/>
    <w:rsid w:val="00B721DE"/>
    <w:rsid w:val="00B740D9"/>
    <w:rsid w:val="00B85B57"/>
    <w:rsid w:val="00B92AF4"/>
    <w:rsid w:val="00B92FF8"/>
    <w:rsid w:val="00BA1204"/>
    <w:rsid w:val="00BA7D98"/>
    <w:rsid w:val="00BB7925"/>
    <w:rsid w:val="00BC3CE5"/>
    <w:rsid w:val="00BD65EB"/>
    <w:rsid w:val="00BE2999"/>
    <w:rsid w:val="00BE4E8F"/>
    <w:rsid w:val="00BF0C53"/>
    <w:rsid w:val="00C01387"/>
    <w:rsid w:val="00C01EC0"/>
    <w:rsid w:val="00C03E98"/>
    <w:rsid w:val="00C12283"/>
    <w:rsid w:val="00C14FF5"/>
    <w:rsid w:val="00C1782D"/>
    <w:rsid w:val="00C26460"/>
    <w:rsid w:val="00C36576"/>
    <w:rsid w:val="00C4017B"/>
    <w:rsid w:val="00C43AB0"/>
    <w:rsid w:val="00C46DF7"/>
    <w:rsid w:val="00C57118"/>
    <w:rsid w:val="00C62CD9"/>
    <w:rsid w:val="00C72046"/>
    <w:rsid w:val="00C77380"/>
    <w:rsid w:val="00C812DA"/>
    <w:rsid w:val="00C83910"/>
    <w:rsid w:val="00C97FCE"/>
    <w:rsid w:val="00CA251A"/>
    <w:rsid w:val="00CA34D8"/>
    <w:rsid w:val="00CC2B3C"/>
    <w:rsid w:val="00CD105E"/>
    <w:rsid w:val="00CD1813"/>
    <w:rsid w:val="00CD5241"/>
    <w:rsid w:val="00CD576D"/>
    <w:rsid w:val="00CE10BC"/>
    <w:rsid w:val="00CE468E"/>
    <w:rsid w:val="00CE5E3E"/>
    <w:rsid w:val="00CE7E7D"/>
    <w:rsid w:val="00CF14B2"/>
    <w:rsid w:val="00CF4C27"/>
    <w:rsid w:val="00D0040B"/>
    <w:rsid w:val="00D027A4"/>
    <w:rsid w:val="00D02FC4"/>
    <w:rsid w:val="00D04E6F"/>
    <w:rsid w:val="00D067F9"/>
    <w:rsid w:val="00D06CB7"/>
    <w:rsid w:val="00D247A4"/>
    <w:rsid w:val="00D342AD"/>
    <w:rsid w:val="00D43317"/>
    <w:rsid w:val="00D70412"/>
    <w:rsid w:val="00D753BF"/>
    <w:rsid w:val="00D825FE"/>
    <w:rsid w:val="00D86B72"/>
    <w:rsid w:val="00DA5DCA"/>
    <w:rsid w:val="00DA5E2D"/>
    <w:rsid w:val="00DA6612"/>
    <w:rsid w:val="00DB0A23"/>
    <w:rsid w:val="00DB0C82"/>
    <w:rsid w:val="00DB1D88"/>
    <w:rsid w:val="00DB2079"/>
    <w:rsid w:val="00DC3E2D"/>
    <w:rsid w:val="00DC3EC6"/>
    <w:rsid w:val="00DC7C60"/>
    <w:rsid w:val="00DD4464"/>
    <w:rsid w:val="00DD4509"/>
    <w:rsid w:val="00DD4DE4"/>
    <w:rsid w:val="00DD5C6C"/>
    <w:rsid w:val="00DD7881"/>
    <w:rsid w:val="00DE45AC"/>
    <w:rsid w:val="00DE4FC3"/>
    <w:rsid w:val="00DE62DD"/>
    <w:rsid w:val="00DE7226"/>
    <w:rsid w:val="00DF14F6"/>
    <w:rsid w:val="00DF1A00"/>
    <w:rsid w:val="00E03701"/>
    <w:rsid w:val="00E16408"/>
    <w:rsid w:val="00E22B11"/>
    <w:rsid w:val="00E22EFE"/>
    <w:rsid w:val="00E268FB"/>
    <w:rsid w:val="00E374F5"/>
    <w:rsid w:val="00E41AB0"/>
    <w:rsid w:val="00E50CAC"/>
    <w:rsid w:val="00E804D0"/>
    <w:rsid w:val="00E82BE5"/>
    <w:rsid w:val="00E91434"/>
    <w:rsid w:val="00E96DD2"/>
    <w:rsid w:val="00EA68E1"/>
    <w:rsid w:val="00EB0949"/>
    <w:rsid w:val="00EB6061"/>
    <w:rsid w:val="00EC6241"/>
    <w:rsid w:val="00EC7E2E"/>
    <w:rsid w:val="00ED31AC"/>
    <w:rsid w:val="00ED563D"/>
    <w:rsid w:val="00EE3736"/>
    <w:rsid w:val="00EF0A2C"/>
    <w:rsid w:val="00EF601C"/>
    <w:rsid w:val="00EF6EA2"/>
    <w:rsid w:val="00F10888"/>
    <w:rsid w:val="00F13A2B"/>
    <w:rsid w:val="00F1767F"/>
    <w:rsid w:val="00F17A5F"/>
    <w:rsid w:val="00F328D4"/>
    <w:rsid w:val="00F37E55"/>
    <w:rsid w:val="00F4715C"/>
    <w:rsid w:val="00F51139"/>
    <w:rsid w:val="00F54D4D"/>
    <w:rsid w:val="00F55B35"/>
    <w:rsid w:val="00F778FB"/>
    <w:rsid w:val="00F8213A"/>
    <w:rsid w:val="00F85F12"/>
    <w:rsid w:val="00F9103F"/>
    <w:rsid w:val="00FA1036"/>
    <w:rsid w:val="00FD5CE2"/>
    <w:rsid w:val="00FD6AC7"/>
    <w:rsid w:val="00FE2947"/>
    <w:rsid w:val="00FE76A0"/>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5E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90F75-D974-4EF3-B6A4-8F24741F7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5931</TotalTime>
  <Pages>31</Pages>
  <Words>42404</Words>
  <Characters>241709</Characters>
  <Application>Microsoft Office Word</Application>
  <DocSecurity>0</DocSecurity>
  <Lines>2014</Lines>
  <Paragraphs>567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283546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506</cp:revision>
  <cp:lastPrinted>2024-06-03T07:46:00Z</cp:lastPrinted>
  <dcterms:created xsi:type="dcterms:W3CDTF">2023-11-14T09:26:00Z</dcterms:created>
  <dcterms:modified xsi:type="dcterms:W3CDTF">2024-06-04T08:54:00Z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