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21D4E014"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5E6F37A7" w:rsidR="00950F4A" w:rsidRDefault="001A4320" w:rsidP="006F63D8">
      <w:pPr>
        <w:spacing w:after="0" w:line="360" w:lineRule="auto"/>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accpeted</w:t>
      </w:r>
      <w:r w:rsidR="00DE62DD">
        <w:rPr>
          <w:lang w:val="en-US"/>
        </w:rPr>
        <w:t xml:space="preserve"> as independent second screeners within 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this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33C9027E" w14:textId="30B87B73" w:rsidR="00E22B11" w:rsidRDefault="00E22B11" w:rsidP="006F63D8">
      <w:pPr>
        <w:spacing w:after="0" w:line="360" w:lineRule="auto"/>
        <w:rPr>
          <w:lang w:val="en-US"/>
        </w:rPr>
      </w:pPr>
      <w:r>
        <w:rPr>
          <w:lang w:val="en-US"/>
        </w:rPr>
        <w:br w:type="page"/>
      </w: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5112A8" w:rsidRDefault="00E22B11" w:rsidP="006F63D8">
      <w:pPr>
        <w:spacing w:after="0" w:line="360" w:lineRule="auto"/>
        <w:rPr>
          <w:rFonts w:cs="Times New Roman"/>
          <w:b/>
          <w:bCs/>
          <w:szCs w:val="24"/>
        </w:rPr>
      </w:pPr>
      <w:r w:rsidRPr="005112A8">
        <w:rPr>
          <w:rFonts w:cs="Times New Roman"/>
          <w:b/>
          <w:bCs/>
          <w:szCs w:val="24"/>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Pr>
          <w:rStyle w:val="FootnoteReference"/>
          <w:lang w:val="en-US"/>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40BAD8A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 xml:space="preserve">automated screening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2D7996DB"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6747EC">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Learning","type":"article-journal"},"uris":["http://www.mendeley.com/documents/?uuid=46829e06-da8a-4114-b1d9-bc0ef5aff7a4"]}],"mendeley":{"formattedCitation":"(Burgard &amp; Bittermann, 2023)","plainTextFormattedCitation":"(Burgard &amp; Bittermann, 2023)","previouslyFormattedCitation":"(Burgard &amp; Bittermann, 2023)"},"properties":{"noteIndex":0},"schema":"https://github.com/citation-style-language/schema/raw/master/csl-citation.json"}</w:instrText>
      </w:r>
      <w:r w:rsidR="006747EC">
        <w:rPr>
          <w:rFonts w:cs="Times New Roman"/>
          <w:szCs w:val="24"/>
          <w:lang w:val="en-US"/>
        </w:rPr>
        <w:fldChar w:fldCharType="separate"/>
      </w:r>
      <w:r w:rsidR="006747EC" w:rsidRPr="00200F7D">
        <w:rPr>
          <w:rFonts w:cs="Times New Roman"/>
          <w:noProof/>
          <w:szCs w:val="24"/>
          <w:lang w:val="en-US"/>
        </w:rPr>
        <w:t>(Burgard &amp; Bittermann, 2023)</w:t>
      </w:r>
      <w:r w:rsidR="006747EC">
        <w:rPr>
          <w:rFonts w:cs="Times New Roman"/>
          <w:szCs w:val="24"/>
          <w:lang w:val="en-US"/>
        </w:rPr>
        <w:fldChar w:fldCharType="end"/>
      </w:r>
      <w:r w:rsidR="003538EF">
        <w:rPr>
          <w:rFonts w:cs="Times New Roman"/>
          <w:szCs w:val="24"/>
          <w:lang w:val="en-US"/>
        </w:rPr>
        <w:t xml:space="preserve">. </w:t>
      </w:r>
      <w:r w:rsidR="00B55A11">
        <w:rPr>
          <w:rFonts w:cs="Times New Roman"/>
          <w:szCs w:val="24"/>
          <w:lang w:val="en-US"/>
        </w:rPr>
        <w:t>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t xml:space="preserve">a substantial number of </w:t>
      </w:r>
      <w:r w:rsidR="00BE2999">
        <w:rPr>
          <w:rFonts w:cs="Times New Roman"/>
          <w:szCs w:val="24"/>
          <w:lang w:val="en-US"/>
        </w:rPr>
        <w:t xml:space="preserve">eligible </w:t>
      </w:r>
      <w:r w:rsidR="00BE2999">
        <w:rPr>
          <w:rFonts w:cs="Times New Roman"/>
          <w:szCs w:val="24"/>
          <w:lang w:val="en-US"/>
        </w:rPr>
        <w:lastRenderedPageBreak/>
        <w:t>studies</w:t>
      </w:r>
      <w:r w:rsidR="00C14FF5">
        <w:rPr>
          <w:rStyle w:val="FootnoteReference"/>
          <w:rFonts w:cs="Times New Roman"/>
          <w:szCs w:val="24"/>
          <w:lang w:val="en-US"/>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8E4A35">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 Olofsson et al., 2017)","plainTextFormattedCitation":"(O’Connor et al., 2019; Olofsson et al., 2017)","previouslyFormattedCitation":"(O’Connor et al., 2019; Olofsson et al., 2017)"},"properties":{"noteIndex":0},"schema":"https://github.com/citation-style-language/schema/raw/master/csl-citation.json"}</w:instrText>
      </w:r>
      <w:r w:rsidR="00806F5B">
        <w:rPr>
          <w:rFonts w:cs="Times New Roman"/>
          <w:szCs w:val="24"/>
          <w:lang w:val="en-US"/>
        </w:rPr>
        <w:fldChar w:fldCharType="separate"/>
      </w:r>
      <w:r w:rsidR="00806F5B" w:rsidRPr="00806F5B">
        <w:rPr>
          <w:rFonts w:cs="Times New Roman"/>
          <w:noProof/>
          <w:szCs w:val="24"/>
          <w:lang w:val="en-US"/>
        </w:rPr>
        <w:t>(O’Connor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77777777" w:rsidR="00D06CB7" w:rsidRPr="00D06CB7" w:rsidRDefault="00D06CB7" w:rsidP="006F63D8">
      <w:pPr>
        <w:autoSpaceDE w:val="0"/>
        <w:autoSpaceDN w:val="0"/>
        <w:adjustRightInd w:val="0"/>
        <w:spacing w:after="0" w:line="360" w:lineRule="auto"/>
        <w:jc w:val="both"/>
        <w:rPr>
          <w:rFonts w:cs="Times New Roman"/>
          <w:sz w:val="36"/>
          <w:szCs w:val="24"/>
          <w:lang w:val="en-US"/>
        </w:rPr>
      </w:pPr>
      <w:r w:rsidRPr="00D06CB7">
        <w:rPr>
          <w:rFonts w:cs="Times New Roman"/>
          <w:b/>
          <w:szCs w:val="24"/>
          <w:lang w:val="en-US"/>
        </w:rPr>
        <w:t>Table 1.</w:t>
      </w:r>
      <w:r w:rsidRPr="00D06CB7">
        <w:rPr>
          <w:rFonts w:cs="Times New Roman"/>
          <w:szCs w:val="24"/>
          <w:lang w:val="en-US"/>
        </w:rPr>
        <w:t xml:space="preserve"> </w:t>
      </w:r>
      <w:r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065935"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065935"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065935"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Pr>
          <w:rStyle w:val="FootnoteReference"/>
          <w:rFonts w:cs="Times New Roman"/>
          <w:szCs w:val="24"/>
          <w:lang w:val="en-US"/>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Pr>
          <w:rStyle w:val="FootnoteReference"/>
          <w:rFonts w:cs="Times New Roman"/>
          <w:szCs w:val="24"/>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0BEBF637"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 xml:space="preserve">of the GPT API models. </w:t>
      </w:r>
      <w:r w:rsidR="00441345">
        <w:rPr>
          <w:lang w:val="en-US"/>
        </w:rPr>
        <w:t xml:space="preserve">In </w:t>
      </w:r>
      <w:r w:rsidR="00B030B9">
        <w:rPr>
          <w:lang w:val="en-US"/>
        </w:rPr>
        <w:t>Section 4</w:t>
      </w:r>
      <w:r w:rsidR="00441345">
        <w:rPr>
          <w:lang w:val="en-US"/>
        </w:rPr>
        <w:t>, we</w:t>
      </w:r>
      <w:r w:rsidR="00B030B9">
        <w:rPr>
          <w:lang w:val="en-US"/>
        </w:rPr>
        <w:t xml:space="preserve"> </w:t>
      </w:r>
      <w:r w:rsidR="00495C59">
        <w:rPr>
          <w:lang w:val="en-US"/>
        </w:rPr>
        <w:t>sketch our used prompt engineering</w:t>
      </w:r>
      <w:r w:rsidR="00B030B9">
        <w:rPr>
          <w:lang w:val="en-US"/>
        </w:rPr>
        <w:t xml:space="preserve"> </w:t>
      </w:r>
      <w:r w:rsidR="00495C59">
        <w:rPr>
          <w:lang w:val="en-US"/>
        </w:rPr>
        <w:t>and how we think</w:t>
      </w:r>
      <w:r w:rsidR="00B030B9">
        <w:rPr>
          <w:lang w:val="en-US"/>
        </w:rPr>
        <w:t xml:space="preserve"> </w:t>
      </w:r>
      <w:r w:rsidR="00495C59">
        <w:rPr>
          <w:lang w:val="en-US"/>
        </w:rPr>
        <w:t xml:space="preserve">reliable </w:t>
      </w:r>
      <w:r w:rsidR="00B030B9">
        <w:rPr>
          <w:lang w:val="en-US"/>
        </w:rPr>
        <w:t>prompts can be</w:t>
      </w:r>
      <w:r w:rsidR="00495C59">
        <w:rPr>
          <w:lang w:val="en-US"/>
        </w:rPr>
        <w:t xml:space="preserve"> developed</w:t>
      </w:r>
      <w:r w:rsidR="00DC7C60">
        <w:rPr>
          <w:lang w:val="en-US"/>
        </w:rPr>
        <w:t xml:space="preserve">. </w:t>
      </w:r>
      <w:r w:rsidR="005F5FAC">
        <w:rPr>
          <w:lang w:val="en-US"/>
        </w:rPr>
        <w:t>In this regard,</w:t>
      </w:r>
      <w:r w:rsidR="00DC7C60">
        <w:rPr>
          <w:lang w:val="en-US"/>
        </w:rPr>
        <w:t xml:space="preserve"> we also describe</w:t>
      </w:r>
      <w:r w:rsidR="00441345">
        <w:rPr>
          <w:lang w:val="en-US"/>
        </w:rPr>
        <w:t xml:space="preserve"> </w:t>
      </w:r>
      <w:r w:rsidR="00495C59">
        <w:rPr>
          <w:lang w:val="en-US"/>
        </w:rPr>
        <w:t xml:space="preserve">in more detail </w:t>
      </w:r>
      <w:r w:rsidR="00441345">
        <w:rPr>
          <w:lang w:val="en-US"/>
        </w:rPr>
        <w:t>the advance of using function calling with the GPT API models</w:t>
      </w:r>
      <w:r w:rsidR="005F5FAC">
        <w:rPr>
          <w:lang w:val="en-US"/>
        </w:rPr>
        <w:t xml:space="preserve"> to ensure reliable </w:t>
      </w:r>
      <w:r w:rsidR="00CF4C27">
        <w:rPr>
          <w:lang w:val="en-US"/>
        </w:rPr>
        <w:t>response</w:t>
      </w:r>
      <w:r w:rsidR="005F5FAC">
        <w:rPr>
          <w:lang w:val="en-US"/>
        </w:rPr>
        <w:t xml:space="preserve"> messages</w:t>
      </w:r>
      <w:r w:rsidR="00B030B9">
        <w:rPr>
          <w:lang w:val="en-US"/>
        </w:rPr>
        <w:t xml:space="preserve">. </w:t>
      </w:r>
      <w:r w:rsidR="00A4653A">
        <w:rPr>
          <w:lang w:val="en-US"/>
        </w:rPr>
        <w:t>In Section 5</w:t>
      </w:r>
      <w:r w:rsidR="00826945">
        <w:rPr>
          <w:lang w:val="en-US"/>
        </w:rPr>
        <w:t>,</w:t>
      </w:r>
      <w:r w:rsidR="00A4653A">
        <w:rPr>
          <w:lang w:val="en-US"/>
        </w:rPr>
        <w:t xml:space="preserve"> we present the data used to conduct </w:t>
      </w:r>
      <w:r w:rsidR="00C57118">
        <w:rPr>
          <w:lang w:val="en-US"/>
        </w:rPr>
        <w:t xml:space="preserve">the two large-scale classifier experiments and the results </w:t>
      </w:r>
      <w:r w:rsidR="00826945">
        <w:rPr>
          <w:lang w:val="en-US"/>
        </w:rPr>
        <w:t>of these experiments</w:t>
      </w:r>
      <w:r w:rsidR="00C57118">
        <w:rPr>
          <w:lang w:val="en-US"/>
        </w:rPr>
        <w:t>. In section 6,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 xml:space="preserve">second screener. </w:t>
      </w:r>
      <w:r w:rsidR="005F5FAC">
        <w:rPr>
          <w:lang w:val="en-US"/>
        </w:rPr>
        <w:t>Finally, in</w:t>
      </w:r>
      <w:r w:rsidR="00C57118">
        <w:rPr>
          <w:lang w:val="en-US"/>
        </w:rPr>
        <w:t xml:space="preserve"> Sections 7 to 9,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0271EC5C"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compared the TAB screening performance of the GPT API model 3.5-turbo-0301</w:t>
      </w:r>
      <w:r w:rsidR="00BA7D98">
        <w:rPr>
          <w:rStyle w:val="FootnoteReference"/>
          <w:lang w:val="en-US"/>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lastRenderedPageBreak/>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Pr>
          <w:rStyle w:val="FootnoteReference"/>
          <w:lang w:val="en-US"/>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A80D342"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GPT-3.5-turbo-0613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GPT-3.5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Pr>
          <w:rStyle w:val="FootnoteReference"/>
          <w:lang w:val="en-US"/>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lastRenderedPageBreak/>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7A1A2840"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57D323A"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858093A"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w:t>
      </w:r>
      <w:r>
        <w:rPr>
          <w:lang w:val="en-US"/>
        </w:rPr>
        <w:lastRenderedPageBreak/>
        <w:t xml:space="preserve">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lastRenderedPageBreak/>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18EC682B"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fferences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6066C919"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114707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6E400011"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w:t>
      </w:r>
      <w:r w:rsidR="00D0040B">
        <w:rPr>
          <w:rFonts w:eastAsiaTheme="minorEastAsia"/>
          <w:lang w:val="en-US"/>
        </w:rPr>
        <w:lastRenderedPageBreak/>
        <w:t>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that reviewers should accept low specificity rates. We will come back to that in the following sections.  </w:t>
      </w:r>
    </w:p>
    <w:p w14:paraId="662A0424" w14:textId="3C5DA122" w:rsidR="00A529FE" w:rsidRDefault="00A529FE" w:rsidP="00A529FE">
      <w:pPr>
        <w:spacing w:after="0" w:line="360" w:lineRule="auto"/>
        <w:ind w:firstLine="1304"/>
        <w:jc w:val="both"/>
        <w:rPr>
          <w:rFonts w:eastAsiaTheme="minorEastAsia"/>
          <w:lang w:val="en-US"/>
        </w:rPr>
      </w:pPr>
      <w:r>
        <w:rPr>
          <w:rFonts w:eastAsiaTheme="minorEastAsia"/>
          <w:lang w:val="en-US"/>
        </w:rPr>
        <w:t xml:space="preserve">In our classifier experiment,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244C3160" w14:textId="3D94E6CA" w:rsidR="00065935" w:rsidRPr="00065935" w:rsidRDefault="00065935" w:rsidP="00065935">
      <w:pPr>
        <w:spacing w:after="0" w:line="360" w:lineRule="auto"/>
        <w:jc w:val="both"/>
        <w:rPr>
          <w:rFonts w:eastAsiaTheme="minorEastAsia"/>
          <w:b/>
          <w:lang w:val="en-US"/>
        </w:rPr>
      </w:pPr>
      <w:r w:rsidRPr="00065935">
        <w:rPr>
          <w:rFonts w:eastAsiaTheme="minorEastAsia"/>
          <w:b/>
          <w:lang w:val="en-US"/>
        </w:rPr>
        <w:t xml:space="preserve">Figure </w:t>
      </w:r>
      <w:r w:rsidR="00340C02">
        <w:rPr>
          <w:rFonts w:eastAsiaTheme="minorEastAsia"/>
          <w:b/>
          <w:lang w:val="en-US"/>
        </w:rPr>
        <w:t>1</w:t>
      </w:r>
      <w:r w:rsidRPr="00065935">
        <w:rPr>
          <w:rFonts w:eastAsiaTheme="minorEastAsia"/>
          <w:b/>
          <w:lang w:val="en-US"/>
        </w:rPr>
        <w:t>:</w:t>
      </w:r>
      <w:r w:rsidR="00F55C04">
        <w:rPr>
          <w:rFonts w:eastAsiaTheme="minorEastAsia"/>
          <w:b/>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71F8E34E" w:rsidR="00065935" w:rsidRDefault="00751331" w:rsidP="00065935">
      <w:pPr>
        <w:spacing w:after="0" w:line="360" w:lineRule="auto"/>
        <w:jc w:val="both"/>
        <w:rPr>
          <w:rFonts w:eastAsiaTheme="minorEastAsia"/>
          <w:lang w:val="en-US"/>
        </w:rPr>
      </w:pPr>
      <w:r>
        <w:rPr>
          <w:rFonts w:eastAsiaTheme="minorEastAsia"/>
          <w:lang w:val="en-US"/>
        </w:rPr>
        <w:t>Note: The blue</w:t>
      </w:r>
      <w:r w:rsidR="00A256F9">
        <w:rPr>
          <w:rFonts w:eastAsiaTheme="minorEastAsia"/>
          <w:lang w:val="en-US"/>
        </w:rPr>
        <w:t>-</w:t>
      </w:r>
      <w:r>
        <w:rPr>
          <w:rFonts w:eastAsiaTheme="minorEastAsia"/>
          <w:lang w:val="en-US"/>
        </w:rPr>
        <w:t>colored circles indicate the propo</w:t>
      </w:r>
      <w:r w:rsidR="00DF351E">
        <w:rPr>
          <w:rFonts w:eastAsiaTheme="minorEastAsia"/>
          <w:lang w:val="en-US"/>
        </w:rPr>
        <w:t>r</w:t>
      </w:r>
      <w:r>
        <w:rPr>
          <w:rFonts w:eastAsiaTheme="minorEastAsia"/>
          <w:lang w:val="en-US"/>
        </w:rPr>
        <w:t>tion of relevant title and abstract records; the gray</w:t>
      </w:r>
      <w:r w:rsidR="00A256F9">
        <w:rPr>
          <w:rFonts w:eastAsiaTheme="minorEastAsia"/>
          <w:lang w:val="en-US"/>
        </w:rPr>
        <w:t>-</w:t>
      </w:r>
      <w:r>
        <w:rPr>
          <w:rFonts w:eastAsiaTheme="minorEastAsia"/>
          <w:lang w:val="en-US"/>
        </w:rPr>
        <w:t>colored circles</w:t>
      </w:r>
      <w:r w:rsidR="00A256F9">
        <w:rPr>
          <w:rFonts w:eastAsiaTheme="minorEastAsia"/>
          <w:lang w:val="en-US"/>
        </w:rPr>
        <w:t xml:space="preserve"> represent the proportion of records included by the screener; the white circles represent the proportion of irrelevant records that are correctly excluded by the screener. </w:t>
      </w:r>
    </w:p>
    <w:p w14:paraId="43F5B2D8" w14:textId="5A829F5F" w:rsidR="00C77380" w:rsidRDefault="00C43AB0" w:rsidP="008120A4">
      <w:pPr>
        <w:spacing w:after="0" w:line="360" w:lineRule="auto"/>
        <w:jc w:val="both"/>
        <w:rPr>
          <w:rFonts w:eastAsiaTheme="minorEastAsia"/>
          <w:lang w:val="en-US"/>
        </w:rPr>
      </w:pPr>
      <w:r>
        <w:rPr>
          <w:rFonts w:eastAsiaTheme="minorEastAsia"/>
          <w:lang w:val="en-US"/>
        </w:rPr>
        <w:lastRenderedPageBreak/>
        <w:tab/>
      </w:r>
      <w:r w:rsidR="00A4058B">
        <w:rPr>
          <w:rFonts w:eastAsiaTheme="minorEastAsia"/>
          <w:lang w:val="en-US"/>
        </w:rPr>
        <w:t>The</w:t>
      </w:r>
      <w:r>
        <w:rPr>
          <w:rFonts w:eastAsiaTheme="minorEastAsia"/>
          <w:lang w:val="en-US"/>
        </w:rPr>
        <w:t xml:space="preserve"> </w:t>
      </w:r>
      <w:r w:rsidR="00A4058B">
        <w:rPr>
          <w:rFonts w:eastAsiaTheme="minorEastAsia"/>
          <w:lang w:val="en-US"/>
        </w:rPr>
        <w:t>two</w:t>
      </w:r>
      <w:r>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sidR="00A4058B">
        <w:rPr>
          <w:rFonts w:eastAsiaTheme="minorEastAsia"/>
          <w:lang w:val="en-US"/>
        </w:rPr>
        <w:t xml:space="preserve">the proportion of </w:t>
      </w:r>
      <w:r>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sidR="00A4058B">
        <w:rPr>
          <w:rFonts w:eastAsiaTheme="minorEastAsia"/>
          <w:lang w:val="en-US"/>
        </w:rPr>
        <w:t>could end up</w:t>
      </w:r>
      <w:r>
        <w:rPr>
          <w:rFonts w:eastAsiaTheme="minorEastAsia"/>
          <w:lang w:val="en-US"/>
        </w:rPr>
        <w:t xml:space="preserve"> </w:t>
      </w:r>
      <w:r w:rsidR="00A4058B">
        <w:rPr>
          <w:rFonts w:eastAsiaTheme="minorEastAsia"/>
          <w:lang w:val="en-US"/>
        </w:rPr>
        <w:t>reaching</w:t>
      </w:r>
      <w:r>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A4058B">
        <w:rPr>
          <w:rFonts w:eastAsiaTheme="minorEastAsia"/>
          <w:lang w:val="en-US"/>
        </w:rPr>
        <w:t xml:space="preserve">clearly </w:t>
      </w:r>
      <w:r w:rsidR="005C01DD">
        <w:rPr>
          <w:rFonts w:eastAsiaTheme="minorEastAsia"/>
          <w:lang w:val="en-US"/>
        </w:rPr>
        <w:t xml:space="preserve">hides the fact that </w:t>
      </w:r>
      <w:r>
        <w:rPr>
          <w:rFonts w:eastAsiaTheme="minorEastAsia"/>
          <w:lang w:val="en-US"/>
        </w:rPr>
        <w:t>the given screener was unable to detect any relevant studies. To overcome this issue, we used two overall metrics</w:t>
      </w:r>
      <w:r w:rsidR="00A4058B">
        <w:rPr>
          <w:rFonts w:eastAsiaTheme="minorEastAsia"/>
          <w:lang w:val="en-US"/>
        </w:rPr>
        <w:t xml:space="preserve"> that account for imbalances</w:t>
      </w:r>
      <w:r w:rsidR="00A4058B">
        <w:rPr>
          <w:rFonts w:eastAsiaTheme="minorEastAsia"/>
          <w:i/>
          <w:lang w:val="en-US"/>
        </w:rPr>
        <w:t xml:space="preserve">. </w:t>
      </w:r>
      <w:r w:rsidR="00A4058B">
        <w:rPr>
          <w:rFonts w:eastAsiaTheme="minorEastAsia"/>
          <w:lang w:val="en-US"/>
        </w:rPr>
        <w:t>That is</w:t>
      </w:r>
      <w:r w:rsidRPr="005C01DD">
        <w:rPr>
          <w:rFonts w:eastAsiaTheme="minorEastAsia"/>
          <w:i/>
          <w:lang w:val="en-US"/>
        </w:rPr>
        <w:t xml:space="preserve"> the balanced accuracy</w:t>
      </w:r>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w:t>
      </w:r>
      <w:r w:rsidRPr="005C01DD">
        <w:rPr>
          <w:rFonts w:eastAsiaTheme="minorEastAsia"/>
          <w:i/>
          <w:lang w:val="en-US"/>
        </w:rPr>
        <w:t xml:space="preserve">the </w:t>
      </w:r>
      <w:r w:rsidR="00BD65EB">
        <w:rPr>
          <w:rFonts w:eastAsiaTheme="minorEastAsia"/>
          <w:i/>
          <w:lang w:val="en-US"/>
        </w:rPr>
        <w:t>normalized</w:t>
      </w:r>
      <w:r w:rsidRPr="005C01DD">
        <w:rPr>
          <w:rFonts w:eastAsiaTheme="minorEastAsia"/>
          <w:i/>
          <w:lang w:val="en-US"/>
        </w:rPr>
        <w:t xml:space="preserve"> Matthew correlation coefficient</w:t>
      </w:r>
      <w:r>
        <w:rPr>
          <w:rFonts w:eastAsiaTheme="minorEastAsia"/>
          <w:lang w:val="en-US"/>
        </w:rPr>
        <w:t xml:space="preserve"> </w:t>
      </w:r>
      <m:oMath>
        <m:r>
          <w:rPr>
            <w:rFonts w:ascii="Cambria Math" w:eastAsiaTheme="minorEastAsia" w:hAnsi="Cambria Math"/>
            <w:lang w:val="en-US"/>
          </w:rPr>
          <m:t>(nMCC)</m:t>
        </m:r>
      </m:oMath>
      <w:r>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A4058B">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091C1972"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7B7665F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 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663B0B23"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08BE8FB2"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t>
      </w:r>
      <w:r w:rsidR="00AE0887">
        <w:rPr>
          <w:lang w:val="en-US"/>
        </w:rPr>
        <w:t xml:space="preserve">This was highlighted by </w:t>
      </w:r>
      <w:r w:rsidR="00AE0887" w:rsidRPr="008E4A35">
        <w:rPr>
          <w:noProof/>
          <w:lang w:val="en-US"/>
        </w:rPr>
        <w:t>O’Connor et al.</w:t>
      </w:r>
      <w:r w:rsidR="00AE0887">
        <w:rPr>
          <w:noProof/>
          <w:lang w:val="en-US"/>
        </w:rPr>
        <w:t xml:space="preserve"> </w:t>
      </w:r>
      <w:r w:rsidR="00AE0887">
        <w:rPr>
          <w:lang w:val="en-US"/>
        </w:rPr>
        <w:fldChar w:fldCharType="begin" w:fldLock="1"/>
      </w:r>
      <w:r w:rsidR="00B6328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E0887">
        <w:rPr>
          <w:lang w:val="en-US"/>
        </w:rPr>
        <w:fldChar w:fldCharType="separate"/>
      </w:r>
      <w:r w:rsidR="00AE0887" w:rsidRPr="00AE0887">
        <w:rPr>
          <w:noProof/>
          <w:lang w:val="en-US"/>
        </w:rPr>
        <w:t>(2019)</w:t>
      </w:r>
      <w:r w:rsidR="00AE0887">
        <w:rPr>
          <w:lang w:val="en-US"/>
        </w:rPr>
        <w:fldChar w:fldCharType="end"/>
      </w:r>
      <w:r w:rsidR="00AE0887">
        <w:rPr>
          <w:lang w:val="en-US"/>
        </w:rPr>
        <w:t xml:space="preserve"> as well.</w:t>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w:t>
      </w:r>
      <w:r>
        <w:rPr>
          <w:lang w:val="en-US"/>
        </w:rPr>
        <w:lastRenderedPageBreak/>
        <w:t>to fail. 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1814E9C7"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21 high-standard systematic reviews that used independent duplicate human screening. This includes 16 Campbell Systematic </w:t>
      </w:r>
      <w:r w:rsidR="00ED63F5">
        <w:rPr>
          <w:lang w:val="en-US"/>
        </w:rPr>
        <w:t>R</w:t>
      </w:r>
      <w:r w:rsidR="0068158C">
        <w:rPr>
          <w:lang w:val="en-US"/>
        </w:rPr>
        <w:t xml:space="preserve">eviews and 5 reviews conducted by </w:t>
      </w:r>
      <w:r w:rsidR="006140D7">
        <w:rPr>
          <w:lang w:val="en-US"/>
        </w:rPr>
        <w:t>the Norwegian Institu</w:t>
      </w:r>
      <w:r w:rsidR="006140D7">
        <w:rPr>
          <w:lang w:val="en-US"/>
        </w:rPr>
        <w:t>t</w:t>
      </w:r>
      <w:r w:rsidR="006140D7">
        <w:rPr>
          <w:lang w:val="en-US"/>
        </w:rPr>
        <w:t>e of Public Health</w:t>
      </w:r>
      <w:r w:rsidR="006140D7">
        <w:rPr>
          <w:lang w:val="en-US"/>
        </w:rPr>
        <w:t xml:space="preserve">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w:t>
      </w:r>
      <w:r w:rsidR="006140D7">
        <w:rPr>
          <w:lang w:val="en-US"/>
        </w:rPr>
        <w:t>including the imbalances in the given dataset.</w:t>
      </w:r>
      <w:r w:rsidR="006140D7">
        <w:rPr>
          <w:lang w:val="en-US"/>
        </w:rPr>
        <w:t xml:space="preserve"> The included </w:t>
      </w:r>
      <w:r w:rsidR="00A46794">
        <w:rPr>
          <w:lang w:val="en-US"/>
        </w:rPr>
        <w:t>Campbell systematic reviews</w:t>
      </w:r>
      <w:r w:rsidR="006140D7">
        <w:rPr>
          <w:lang w:val="en-US"/>
        </w:rPr>
        <w:t xml:space="preserve">, represent all Campbell reviews </w:t>
      </w:r>
      <w:r w:rsidR="00A46794">
        <w:rPr>
          <w:lang w:val="en-US"/>
        </w:rPr>
        <w:t xml:space="preserve">that have been conducted by the Danish Center for Social Science Research in which independent duplicate human screening has been used and tracked. Concretely, this data includes </w:t>
      </w:r>
      <w:r w:rsidR="00A46794">
        <w:rPr>
          <w:lang w:val="en-US"/>
        </w:rPr>
        <w:t>137,764</w:t>
      </w:r>
      <w:r w:rsidR="00A46794">
        <w:rPr>
          <w:lang w:val="en-US"/>
        </w:rPr>
        <w:t xml:space="preserve"> </w:t>
      </w:r>
      <w:r w:rsidR="006140D7">
        <w:rPr>
          <w:lang w:val="en-US"/>
        </w:rPr>
        <w:t xml:space="preserve">title and abstract records, all of which </w:t>
      </w:r>
      <w:r w:rsidR="00A46794">
        <w:rPr>
          <w:lang w:val="en-US"/>
        </w:rPr>
        <w:t xml:space="preserve">have been double-screened by 44 individual screeners of which 33 were student assistants and/or non-content experts, and 11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w:t>
      </w:r>
      <w:r w:rsidR="008B2076">
        <w:rPr>
          <w:lang w:val="en-US"/>
        </w:rPr>
        <w:t>Since all of the included Campbell reviews</w:t>
      </w:r>
      <w:r w:rsidR="00A46794">
        <w:rPr>
          <w:lang w:val="en-US"/>
        </w:rPr>
        <w:t xml:space="preserve"> </w:t>
      </w:r>
      <w:r w:rsidR="008B2076">
        <w:rPr>
          <w:lang w:val="en-US"/>
        </w:rPr>
        <w:t>drew on</w:t>
      </w:r>
      <w:r w:rsidR="00A46794">
        <w:rPr>
          <w:lang w:val="en-US"/>
        </w:rPr>
        <w:t xml:space="preserve"> student assistant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student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8B2076">
        <w:rPr>
          <w:lang w:val="en-US"/>
        </w:rPr>
        <w:t>T</w:t>
      </w:r>
      <w:r w:rsidR="00A46794">
        <w:rPr>
          <w:lang w:val="en-US"/>
        </w:rPr>
        <w:t>herefore,</w:t>
      </w:r>
      <w:r w:rsidR="008B2076">
        <w:rPr>
          <w:lang w:val="en-US"/>
        </w:rPr>
        <w:t xml:space="preserve"> we</w:t>
      </w:r>
      <w:r w:rsidR="00A46794">
        <w:rPr>
          <w:lang w:val="en-US"/>
        </w:rPr>
        <w:t xml:space="preserve"> analyzed the Campbell review data separately for student/non-expert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student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Consequently,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researcher performances in systematic reviews. This data added a further </w:t>
      </w:r>
      <w:r w:rsidR="006140D7">
        <w:rPr>
          <w:lang w:val="en-US"/>
        </w:rPr>
        <w:t xml:space="preserve">13,825 </w:t>
      </w:r>
      <w:r w:rsidR="006140D7">
        <w:rPr>
          <w:lang w:val="en-US"/>
        </w:rPr>
        <w:t xml:space="preserve">title and abstract records that had been independently double-screened by 13 individual researchers. The five </w:t>
      </w:r>
      <w:r w:rsidR="00ED63F5">
        <w:rPr>
          <w:lang w:val="en-US"/>
        </w:rPr>
        <w:t>N</w:t>
      </w:r>
      <w:r w:rsidR="006140D7">
        <w:rPr>
          <w:lang w:val="en-US"/>
        </w:rPr>
        <w:t>IPH re</w:t>
      </w:r>
      <w:r w:rsidR="006140D7">
        <w:rPr>
          <w:lang w:val="en-US"/>
        </w:rPr>
        <w:lastRenderedPageBreak/>
        <w:t xml:space="preserve">views were conducted from 2021 to 2024. </w:t>
      </w:r>
      <w:r w:rsidR="00ED63F5">
        <w:rPr>
          <w:lang w:val="en-US"/>
        </w:rPr>
        <w:t>When analyzing all of the above-presented data, we removed all training data to avoid inflating human disagreements unreliably. In other words, a</w:t>
      </w:r>
      <w:r w:rsidR="00ED63F5">
        <w:rPr>
          <w:lang w:val="en-US"/>
        </w:rPr>
        <w:t xml:space="preserve">ll presented </w:t>
      </w:r>
      <w:r w:rsidR="00ED63F5">
        <w:rPr>
          <w:lang w:val="en-US"/>
        </w:rPr>
        <w:t xml:space="preserve">screening </w:t>
      </w:r>
      <w:r w:rsidR="00ED63F5">
        <w:rPr>
          <w:lang w:val="en-US"/>
        </w:rPr>
        <w:t>performance</w:t>
      </w:r>
      <w:r w:rsidR="00ED63F5">
        <w:rPr>
          <w:lang w:val="en-US"/>
        </w:rPr>
        <w:t>s represent</w:t>
      </w:r>
      <w:r w:rsidR="00ED63F5">
        <w:rPr>
          <w:lang w:val="en-US"/>
        </w:rPr>
        <w:t xml:space="preserve">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401D61F0" w:rsidR="005860BB" w:rsidRPr="00296111" w:rsidRDefault="005860BB" w:rsidP="006F63D8">
      <w:pPr>
        <w:spacing w:after="0" w:line="360" w:lineRule="auto"/>
        <w:rPr>
          <w:b/>
          <w:lang w:val="en-US"/>
        </w:rPr>
      </w:pPr>
      <w:r>
        <w:rPr>
          <w:b/>
          <w:lang w:val="en-US"/>
        </w:rPr>
        <w:t>Table 2: Description of studies used to develop benchmark scheme</w:t>
      </w:r>
    </w:p>
    <w:tbl>
      <w:tblPr>
        <w:tblStyle w:val="TableGrid"/>
        <w:tblW w:w="0" w:type="auto"/>
        <w:tblLook w:val="04A0" w:firstRow="1" w:lastRow="0" w:firstColumn="1" w:lastColumn="0" w:noHBand="0" w:noVBand="1"/>
      </w:tblPr>
      <w:tblGrid>
        <w:gridCol w:w="1916"/>
        <w:gridCol w:w="3754"/>
        <w:gridCol w:w="1385"/>
        <w:gridCol w:w="672"/>
        <w:gridCol w:w="704"/>
      </w:tblGrid>
      <w:tr w:rsidR="00D04E6F" w14:paraId="0ED70F70" w14:textId="77777777" w:rsidTr="006417A3">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3754"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385" w:type="dxa"/>
            <w:tcBorders>
              <w:left w:val="nil"/>
              <w:bottom w:val="single" w:sz="4" w:space="0" w:color="auto"/>
              <w:right w:val="nil"/>
            </w:tcBorders>
          </w:tcPr>
          <w:p w14:paraId="55C9580A" w14:textId="01F00443" w:rsidR="00D04E6F" w:rsidRPr="006417A3" w:rsidRDefault="00755B8A"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668"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673"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6417A3">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3754"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385"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668"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673"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6417A3">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3754"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385"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668"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6417A3">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3754"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385"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668"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6417A3">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065935">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3754"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385"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668"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6417A3">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7B4CDF">
              <w:rPr>
                <w:rFonts w:cs="Times New Roman"/>
                <w:sz w:val="22"/>
                <w:lang w:val="en-US"/>
              </w:rPr>
              <w:t xml:space="preserve">Dalgaard, Bondebjerg, Viinholt et al. </w:t>
            </w:r>
            <w:r>
              <w:rPr>
                <w:rFonts w:cs="Times New Roman"/>
                <w:sz w:val="22"/>
                <w:lang w:val="en-US"/>
              </w:rPr>
              <w:fldChar w:fldCharType="begin" w:fldLock="1"/>
            </w:r>
            <w:r w:rsidRPr="007B4CDF">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7B4CDF">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385"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668"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6417A3">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385"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668"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673"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6417A3">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385"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668"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6417A3">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3754"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385"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668"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673"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6417A3">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385"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668"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6417A3">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385"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668"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6417A3">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3754"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385"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668"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6417A3">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lastRenderedPageBreak/>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3754"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385"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668"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6417A3">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385"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668"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6417A3">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3754"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385"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668"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6417A3">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3754"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385"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668"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6417A3">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385"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668"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6417A3">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3754"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385"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668"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673"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6417A3">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3754"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385"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668"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6417A3">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3754"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385"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668"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6417A3">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3754"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385"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668"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6417A3">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385"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668"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6417A3">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385"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668"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77777777" w:rsidR="005860BB" w:rsidRPr="00E97DAC" w:rsidRDefault="005860BB" w:rsidP="005860BB">
      <w:pPr>
        <w:spacing w:after="0" w:line="360" w:lineRule="auto"/>
        <w:jc w:val="both"/>
        <w:rPr>
          <w:b/>
          <w:lang w:val="en-US"/>
        </w:rPr>
      </w:pPr>
      <w:r>
        <w:rPr>
          <w:b/>
          <w:lang w:val="en-US"/>
        </w:rPr>
        <w:t xml:space="preserve">3.2.2 Statistical analysis used to deduce benchmarks </w:t>
      </w:r>
    </w:p>
    <w:p w14:paraId="463DAAE1" w14:textId="316EDEBF" w:rsidR="00B6328D" w:rsidRDefault="007A4FC4" w:rsidP="005C001E">
      <w:pPr>
        <w:spacing w:after="0" w:line="360" w:lineRule="auto"/>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w:t>
      </w:r>
      <w:r w:rsidR="0070110A">
        <w:rPr>
          <w:rFonts w:eastAsiaTheme="minorEastAsia"/>
          <w:lang w:val="en-US"/>
        </w:rPr>
        <w:t xml:space="preserve">used in these equations </w:t>
      </w:r>
      <w:r w:rsidR="0070110A">
        <w:rPr>
          <w:rFonts w:eastAsiaTheme="minorEastAsia"/>
          <w:lang w:val="en-US"/>
        </w:rPr>
        <w:t>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w:t>
      </w:r>
      <w:r w:rsidR="005C001E">
        <w:rPr>
          <w:lang w:val="en-US"/>
        </w:rPr>
        <w:lastRenderedPageBreak/>
        <w:t xml:space="preserve">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recall, specificity, and balanced accuracy metrics.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4412DC38"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m:oMath>
        <m:r>
          <w:rPr>
            <w:rFonts w:ascii="Cambria Math" w:eastAsiaTheme="minorEastAsia" w:hAnsi="Cambria Math"/>
            <w:lang w:val="en-US"/>
          </w:rPr>
          <m:t>recall</m:t>
        </m:r>
      </m:oMath>
      <w:r>
        <w:rPr>
          <w:rFonts w:eastAsiaTheme="minorEastAsia"/>
          <w:lang w:val="en-US"/>
        </w:rPr>
        <w:t xml:space="preserve">, </w:t>
      </w:r>
      <m:oMath>
        <m:r>
          <w:rPr>
            <w:rFonts w:ascii="Cambria Math" w:eastAsiaTheme="minorEastAsia" w:hAnsi="Cambria Math"/>
            <w:lang w:val="en-US"/>
          </w:rPr>
          <m:t>specificity</m:t>
        </m:r>
      </m:oMath>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the </w:t>
      </w:r>
      <m:oMath>
        <m:r>
          <w:rPr>
            <w:rFonts w:ascii="Cambria Math" w:eastAsiaTheme="minorEastAsia" w:hAnsi="Cambria Math"/>
            <w:lang w:val="en-US"/>
          </w:rPr>
          <m:t>nMCC</m:t>
        </m:r>
      </m:oMath>
      <w:r>
        <w:rPr>
          <w:rFonts w:eastAsiaTheme="minorEastAsia"/>
          <w:lang w:val="en-US"/>
        </w:rPr>
        <w:t xml:space="preserve"> 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student and author screeners, we applied the so-called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performances. </w:t>
      </w:r>
      <w:r w:rsidR="002B3B8E">
        <w:rPr>
          <w:rFonts w:eastAsiaTheme="minorEastAsia"/>
          <w:lang w:val="en-US"/>
        </w:rPr>
        <w:t>Both types of models</w:t>
      </w:r>
      <w:r w:rsidR="00032250">
        <w:rPr>
          <w:rFonts w:eastAsiaTheme="minorEastAsia"/>
          <w:lang w:val="en-US"/>
        </w:rPr>
        <w:t xml:space="preserve"> account for the multi-level structure with 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m:t>
        </m:r>
        <m:r>
          <w:rPr>
            <w:rFonts w:ascii="Cambria Math" w:eastAsiaTheme="minorEastAsia" w:hAnsi="Cambria Math"/>
            <w:lang w:val="en-US"/>
          </w:rPr>
          <m:t>7</m:t>
        </m:r>
      </m:oMath>
      <w:r w:rsidR="00390F19">
        <w:rPr>
          <w:rFonts w:eastAsiaTheme="minorEastAsia"/>
          <w:lang w:val="en-US"/>
        </w:rPr>
        <w:t xml:space="preserve">. </w:t>
      </w:r>
      <w:r w:rsidR="00390F19">
        <w:rPr>
          <w:rFonts w:eastAsiaTheme="minorEastAsia"/>
          <w:lang w:val="en-US"/>
        </w:rPr>
        <w:t xml:space="preserve">To guard against model misspecification both models </w:t>
      </w:r>
      <w:r w:rsidR="00032250">
        <w:rPr>
          <w:rFonts w:eastAsiaTheme="minorEastAsia"/>
          <w:lang w:val="en-US"/>
        </w:rPr>
        <w:t xml:space="preserve">have incorporated robust variance estimators. The main difference between the two models is that the SCE+ model allows to derive subgroup effects from the same model, allowing for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032250">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 That is the true variability of the performances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30A5CE33" w14:textId="77777777" w:rsidR="00610A3E" w:rsidRDefault="00DC4895" w:rsidP="00BE290F">
      <w:pPr>
        <w:spacing w:after="0" w:line="360" w:lineRule="auto"/>
        <w:jc w:val="both"/>
        <w:rPr>
          <w:lang w:val="en-US"/>
        </w:rPr>
      </w:pPr>
      <w:r>
        <w:rPr>
          <w:lang w:val="en-US"/>
        </w:rPr>
        <w:t xml:space="preserve">All the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610A3E">
        <w:rPr>
          <w:lang w:val="en-US"/>
        </w:rPr>
        <w:t>6</w:t>
      </w:r>
      <w:r w:rsidR="001A0C60">
        <w:rPr>
          <w:lang w:val="en-US"/>
        </w:rPr>
        <w:t xml:space="preserve">, 95% </w:t>
      </w:r>
      <w:r w:rsidR="001A0C60" w:rsidRPr="002429D3">
        <w:rPr>
          <w:i/>
          <w:lang w:val="en-US"/>
        </w:rPr>
        <w:t>CI</w:t>
      </w:r>
      <w:r w:rsidR="001A0C60">
        <w:rPr>
          <w:lang w:val="en-US"/>
        </w:rPr>
        <w:t>[0.747, 0.823] and 0.89</w:t>
      </w:r>
      <w:r w:rsidR="00610A3E">
        <w:rPr>
          <w:lang w:val="en-US"/>
        </w:rPr>
        <w:t>2</w:t>
      </w:r>
      <w:r w:rsidR="001A0C60">
        <w:rPr>
          <w:lang w:val="en-US"/>
        </w:rPr>
        <w:t xml:space="preserve">, </w:t>
      </w:r>
      <w:r w:rsidR="001A0C60">
        <w:rPr>
          <w:lang w:val="en-US"/>
        </w:rPr>
        <w:t xml:space="preserve">95% </w:t>
      </w:r>
      <w:r w:rsidR="001A0C60" w:rsidRPr="002429D3">
        <w:rPr>
          <w:i/>
          <w:lang w:val="en-US"/>
        </w:rPr>
        <w:t>CI</w:t>
      </w:r>
      <w:r w:rsidR="001A0C60">
        <w:rPr>
          <w:lang w:val="en-US"/>
        </w:rPr>
        <w:t>[0.</w:t>
      </w:r>
      <w:r w:rsidR="001A0C60">
        <w:rPr>
          <w:lang w:val="en-US"/>
        </w:rPr>
        <w:t xml:space="preserve">841, </w:t>
      </w:r>
      <w:r w:rsidR="001A0C60">
        <w:rPr>
          <w:lang w:val="en-US"/>
        </w:rPr>
        <w:t>0.</w:t>
      </w:r>
      <w:r w:rsidR="001A0C60">
        <w:rPr>
          <w:lang w:val="en-US"/>
        </w:rPr>
        <w:t>934</w:t>
      </w:r>
      <w:r w:rsidR="001A0C60">
        <w:rPr>
          <w:lang w:val="en-US"/>
        </w:rPr>
        <w:t>]</w:t>
      </w:r>
      <w:r w:rsidR="001A0C60">
        <w:rPr>
          <w:lang w:val="en-US"/>
        </w:rPr>
        <w:t>, respectively.</w:t>
      </w:r>
      <w:r w:rsidR="002429D3">
        <w:rPr>
          <w:lang w:val="en-US"/>
        </w:rPr>
        <w:t xml:space="preserve"> Hereto, we found the two average </w:t>
      </w:r>
      <w:r w:rsidR="002429D3">
        <w:rPr>
          <w:lang w:val="en-US"/>
        </w:rPr>
        <w:lastRenderedPageBreak/>
        <w:t>group differences to be statistically</w:t>
      </w:r>
      <w:r w:rsidR="00BE290F">
        <w:rPr>
          <w:lang w:val="en-US"/>
        </w:rPr>
        <w:t xml:space="preserve"> (significant)</w:t>
      </w:r>
      <w:r w:rsidR="002429D3">
        <w:rPr>
          <w:lang w:val="en-US"/>
        </w:rPr>
        <w:t xml:space="preserve"> distinct from each other with </w:t>
      </w:r>
      <w:r w:rsidR="002429D3">
        <w:rPr>
          <w:i/>
          <w:lang w:val="en-US"/>
        </w:rPr>
        <w:t>F</w:t>
      </w:r>
      <w:r w:rsidR="002429D3">
        <w:rPr>
          <w:lang w:val="en-US"/>
        </w:rPr>
        <w:t xml:space="preserve">(1, 9.79) = </w:t>
      </w:r>
      <w:r w:rsidR="002429D3">
        <w:rPr>
          <w:lang w:val="en-US"/>
        </w:rPr>
        <w:t>21.9</w:t>
      </w:r>
      <w:r w:rsidR="002429D3">
        <w:rPr>
          <w:lang w:val="en-US"/>
        </w:rPr>
        <w:t xml:space="preserve">, </w:t>
      </w:r>
      <w:r w:rsidR="00BE290F">
        <w:rPr>
          <w:i/>
          <w:lang w:val="en-US"/>
        </w:rPr>
        <w:t xml:space="preserve">p </w:t>
      </w:r>
      <w:r w:rsidR="00BE290F">
        <w:rPr>
          <w:lang w:val="en-US"/>
        </w:rPr>
        <w:t xml:space="preserve">&lt; 0.001.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89</w:t>
      </w:r>
      <w:r w:rsidR="000837FF">
        <w:rPr>
          <w:lang w:val="en-US"/>
        </w:rPr>
        <w:t xml:space="preserve">, </w:t>
      </w:r>
      <w:r w:rsidR="000837FF">
        <w:rPr>
          <w:lang w:val="en-US"/>
        </w:rPr>
        <w:t xml:space="preserve">95% </w:t>
      </w:r>
      <w:r w:rsidR="000837FF">
        <w:rPr>
          <w:i/>
          <w:lang w:val="en-US"/>
        </w:rPr>
        <w:t>CI</w:t>
      </w:r>
      <w:r w:rsidR="000837FF">
        <w:rPr>
          <w:lang w:val="en-US"/>
        </w:rPr>
        <w:t>[0.9</w:t>
      </w:r>
      <w:r w:rsidR="000837FF">
        <w:rPr>
          <w:lang w:val="en-US"/>
        </w:rPr>
        <w:t>79</w:t>
      </w:r>
      <w:r w:rsidR="000837FF">
        <w:rPr>
          <w:lang w:val="en-US"/>
        </w:rPr>
        <w:t>, 0.99</w:t>
      </w:r>
      <w:r w:rsidR="000837FF">
        <w:rPr>
          <w:lang w:val="en-US"/>
        </w:rPr>
        <w:t>5</w:t>
      </w:r>
      <w:r w:rsidR="000837FF">
        <w:rPr>
          <w:lang w:val="en-US"/>
        </w:rPr>
        <w:t>]</w:t>
      </w:r>
      <w:r w:rsidR="000837FF">
        <w:rPr>
          <w:lang w:val="en-US"/>
        </w:rPr>
        <w:t xml:space="preserve">. We found no statistically significant difference between the two average estimates. That is </w:t>
      </w:r>
      <w:r w:rsidR="000837FF">
        <w:rPr>
          <w:i/>
          <w:lang w:val="en-US"/>
        </w:rPr>
        <w:t>F</w:t>
      </w:r>
      <w:r w:rsidR="000837FF">
        <w:rPr>
          <w:lang w:val="en-US"/>
        </w:rPr>
        <w:t xml:space="preserve">(1, 12.31) = 1.64, </w:t>
      </w:r>
      <w:r w:rsidR="000837FF">
        <w:rPr>
          <w:i/>
          <w:lang w:val="en-US"/>
        </w:rPr>
        <w:t xml:space="preserve">p </w:t>
      </w:r>
      <w:r w:rsidR="000837FF">
        <w:rPr>
          <w:lang w:val="en-US"/>
        </w:rPr>
        <w:t>= 0.22. For assistant screeners, the average balanced accuracy was 0.87</w:t>
      </w:r>
      <w:r w:rsidR="00610A3E">
        <w:rPr>
          <w:lang w:val="en-US"/>
        </w:rPr>
        <w:t>7</w:t>
      </w:r>
      <w:r w:rsidR="000837FF">
        <w:rPr>
          <w:lang w:val="en-US"/>
        </w:rPr>
        <w:t xml:space="preserve">, </w:t>
      </w:r>
      <w:r w:rsidR="000837FF">
        <w:rPr>
          <w:lang w:val="en-US"/>
        </w:rPr>
        <w:t xml:space="preserve">95% </w:t>
      </w:r>
      <w:r w:rsidR="000837FF">
        <w:rPr>
          <w:i/>
          <w:lang w:val="en-US"/>
        </w:rPr>
        <w:t>CI</w:t>
      </w:r>
      <w:r w:rsidR="000837FF">
        <w:rPr>
          <w:lang w:val="en-US"/>
        </w:rPr>
        <w:t>[0.</w:t>
      </w:r>
      <w:r w:rsidR="000837FF">
        <w:rPr>
          <w:lang w:val="en-US"/>
        </w:rPr>
        <w:t>860</w:t>
      </w:r>
      <w:r w:rsidR="000837FF">
        <w:rPr>
          <w:lang w:val="en-US"/>
        </w:rPr>
        <w:t>, 0.</w:t>
      </w:r>
      <w:r w:rsidR="000837FF">
        <w:rPr>
          <w:lang w:val="en-US"/>
        </w:rPr>
        <w:t>893</w:t>
      </w:r>
      <w:r w:rsidR="000837FF">
        <w:rPr>
          <w:lang w:val="en-US"/>
        </w:rPr>
        <w:t>],</w:t>
      </w:r>
      <w:r w:rsidR="000837FF">
        <w:rPr>
          <w:lang w:val="en-US"/>
        </w:rPr>
        <w:t xml:space="preserve"> and for authors screeners it was 0.94</w:t>
      </w:r>
      <w:r w:rsidR="00610A3E">
        <w:rPr>
          <w:lang w:val="en-US"/>
        </w:rPr>
        <w:t>1</w:t>
      </w:r>
      <w:r w:rsidR="000837FF">
        <w:rPr>
          <w:lang w:val="en-US"/>
        </w:rPr>
        <w:t xml:space="preserve">, </w:t>
      </w:r>
      <w:r w:rsidR="000837FF">
        <w:rPr>
          <w:lang w:val="en-US"/>
        </w:rPr>
        <w:t xml:space="preserve">95% </w:t>
      </w:r>
      <w:r w:rsidR="000837FF">
        <w:rPr>
          <w:i/>
          <w:lang w:val="en-US"/>
        </w:rPr>
        <w:t>CI</w:t>
      </w:r>
      <w:r w:rsidR="000837FF">
        <w:rPr>
          <w:lang w:val="en-US"/>
        </w:rPr>
        <w:t>[0.</w:t>
      </w:r>
      <w:r w:rsidR="000837FF">
        <w:rPr>
          <w:lang w:val="en-US"/>
        </w:rPr>
        <w:t>905</w:t>
      </w:r>
      <w:r w:rsidR="000837FF">
        <w:rPr>
          <w:lang w:val="en-US"/>
        </w:rPr>
        <w:t>, 0.</w:t>
      </w:r>
      <w:r w:rsidR="000837FF">
        <w:rPr>
          <w:lang w:val="en-US"/>
        </w:rPr>
        <w:t>968</w:t>
      </w:r>
      <w:r w:rsidR="000837FF">
        <w:rPr>
          <w:lang w:val="en-US"/>
        </w:rPr>
        <w:t>]</w:t>
      </w:r>
      <w:r w:rsidR="000837FF">
        <w:rPr>
          <w:lang w:val="en-US"/>
        </w:rPr>
        <w:t>.</w:t>
      </w:r>
      <w:r w:rsidR="00610A3E">
        <w:rPr>
          <w:lang w:val="en-US"/>
        </w:rPr>
        <w:t xml:space="preserve"> We found the difference between the groups to be statistically significant with </w:t>
      </w:r>
      <w:r w:rsidR="00610A3E">
        <w:rPr>
          <w:i/>
          <w:lang w:val="en-US"/>
        </w:rPr>
        <w:t>F</w:t>
      </w:r>
      <w:r w:rsidR="00610A3E">
        <w:rPr>
          <w:lang w:val="en-US"/>
        </w:rPr>
        <w:t xml:space="preserve">(1, 10.1) = 18.52, </w:t>
      </w:r>
      <w:r w:rsidR="00610A3E">
        <w:rPr>
          <w:i/>
          <w:lang w:val="en-US"/>
        </w:rPr>
        <w:t>p</w:t>
      </w:r>
      <w:r w:rsidR="00610A3E">
        <w:rPr>
          <w:lang w:val="en-US"/>
        </w:rPr>
        <w:t xml:space="preserve"> = .0015. </w:t>
      </w:r>
      <w:r w:rsidR="000837FF">
        <w:rPr>
          <w:lang w:val="en-US"/>
        </w:rPr>
        <w:t xml:space="preserve">Finally, the overall </w:t>
      </w:r>
      <m:oMath>
        <m:r>
          <w:rPr>
            <w:rFonts w:ascii="Cambria Math" w:hAnsi="Cambria Math"/>
            <w:lang w:val="en-US"/>
          </w:rPr>
          <m:t>nMCC</m:t>
        </m:r>
      </m:oMath>
      <w:r w:rsidR="000837FF">
        <w:rPr>
          <w:rFonts w:eastAsiaTheme="minorEastAsia"/>
          <w:lang w:val="en-US"/>
        </w:rPr>
        <w:t xml:space="preserve"> was 0.8</w:t>
      </w:r>
      <w:r w:rsidR="00610A3E">
        <w:rPr>
          <w:rFonts w:eastAsiaTheme="minorEastAsia"/>
          <w:lang w:val="en-US"/>
        </w:rPr>
        <w:t>59</w:t>
      </w:r>
      <w:r w:rsidR="000837FF">
        <w:rPr>
          <w:rFonts w:eastAsiaTheme="minorEastAsia"/>
          <w:lang w:val="en-US"/>
        </w:rPr>
        <w:t xml:space="preserve">, </w:t>
      </w:r>
      <w:r w:rsidR="000837FF">
        <w:rPr>
          <w:lang w:val="en-US"/>
        </w:rPr>
        <w:t xml:space="preserve">95% </w:t>
      </w:r>
      <w:r w:rsidR="000837FF">
        <w:rPr>
          <w:i/>
          <w:lang w:val="en-US"/>
        </w:rPr>
        <w:t>CI</w:t>
      </w:r>
      <w:r w:rsidR="000837FF">
        <w:rPr>
          <w:lang w:val="en-US"/>
        </w:rPr>
        <w:t>[0.</w:t>
      </w:r>
      <w:r w:rsidR="00610A3E">
        <w:rPr>
          <w:lang w:val="en-US"/>
        </w:rPr>
        <w:t>831</w:t>
      </w:r>
      <w:r w:rsidR="000837FF">
        <w:rPr>
          <w:lang w:val="en-US"/>
        </w:rPr>
        <w:t>, 0.</w:t>
      </w:r>
      <w:r w:rsidR="00610A3E">
        <w:rPr>
          <w:lang w:val="en-US"/>
        </w:rPr>
        <w:t>882</w:t>
      </w:r>
      <w:r w:rsidR="000837FF">
        <w:rPr>
          <w:lang w:val="en-US"/>
        </w:rPr>
        <w:t>]</w:t>
      </w:r>
      <w:r w:rsidR="00610A3E">
        <w:rPr>
          <w:lang w:val="en-US"/>
        </w:rPr>
        <w:t xml:space="preserve"> and 0.931, </w:t>
      </w:r>
      <w:r w:rsidR="00610A3E">
        <w:rPr>
          <w:lang w:val="en-US"/>
        </w:rPr>
        <w:t xml:space="preserve">95% </w:t>
      </w:r>
      <w:r w:rsidR="00610A3E">
        <w:rPr>
          <w:i/>
          <w:lang w:val="en-US"/>
        </w:rPr>
        <w:t>CI</w:t>
      </w:r>
      <w:r w:rsidR="00610A3E">
        <w:rPr>
          <w:lang w:val="en-US"/>
        </w:rPr>
        <w:t>[0.</w:t>
      </w:r>
      <w:r w:rsidR="00610A3E">
        <w:rPr>
          <w:lang w:val="en-US"/>
        </w:rPr>
        <w:t>892</w:t>
      </w:r>
      <w:r w:rsidR="00610A3E">
        <w:rPr>
          <w:lang w:val="en-US"/>
        </w:rPr>
        <w:t>, 0.</w:t>
      </w:r>
      <w:r w:rsidR="00610A3E">
        <w:rPr>
          <w:lang w:val="en-US"/>
        </w:rPr>
        <w:t>956</w:t>
      </w:r>
      <w:r w:rsidR="00610A3E">
        <w:rPr>
          <w:lang w:val="en-US"/>
        </w:rPr>
        <w:t>]</w:t>
      </w:r>
      <w:r w:rsidR="00610A3E">
        <w:rPr>
          <w:lang w:val="en-US"/>
        </w:rPr>
        <w:t xml:space="preserve"> for the assistant and author </w:t>
      </w:r>
      <w:commentRangeStart w:id="1"/>
      <w:r w:rsidR="00610A3E">
        <w:rPr>
          <w:lang w:val="en-US"/>
        </w:rPr>
        <w:t xml:space="preserve">screeners, respectively. These averages were found to be statistically different with </w:t>
      </w:r>
      <w:r w:rsidR="00610A3E">
        <w:rPr>
          <w:i/>
          <w:lang w:val="en-US"/>
        </w:rPr>
        <w:t>F</w:t>
      </w:r>
      <w:r w:rsidR="00610A3E">
        <w:rPr>
          <w:lang w:val="en-US"/>
        </w:rPr>
        <w:t xml:space="preserve">(1, 9.87) = 14.93, </w:t>
      </w:r>
      <w:r w:rsidR="00610A3E">
        <w:rPr>
          <w:i/>
          <w:lang w:val="en-US"/>
        </w:rPr>
        <w:t>p</w:t>
      </w:r>
      <w:r w:rsidR="00610A3E">
        <w:rPr>
          <w:lang w:val="en-US"/>
        </w:rPr>
        <w:t xml:space="preserve"> = .003. </w:t>
      </w:r>
      <w:commentRangeEnd w:id="1"/>
      <w:r w:rsidR="00610A3E">
        <w:rPr>
          <w:rStyle w:val="CommentReference"/>
        </w:rPr>
        <w:commentReference w:id="1"/>
      </w:r>
    </w:p>
    <w:p w14:paraId="23A16B53" w14:textId="3979DB54"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driven by other reasons than the actual screening performance of the assistants. Interestingly, when investigating the NIPH data, which was only based on researcher-researcher screening comparisons, we found performance patterns similar to the performance of the assistant screeners in the included Campbell review. The overall recall rate in the NIPH data was 0.839, 95% </w:t>
      </w:r>
      <w:r>
        <w:rPr>
          <w:i/>
          <w:lang w:val="en-US"/>
        </w:rPr>
        <w:t>CI</w:t>
      </w:r>
      <w:r>
        <w:rPr>
          <w:lang w:val="en-US"/>
        </w:rPr>
        <w:t xml:space="preserve">[0.737, 0.920]. Again, we primarily found true differences between the screener recall performances within studies with </w:t>
      </w:r>
      <m:oMath>
        <m:r>
          <w:rPr>
            <w:rFonts w:ascii="Cambria Math" w:hAnsi="Cambria Math"/>
            <w:lang w:val="en-US"/>
          </w:rPr>
          <m:t>ω</m:t>
        </m:r>
      </m:oMath>
      <w:r>
        <w:rPr>
          <w:rFonts w:eastAsiaTheme="minorEastAsia"/>
          <w:lang w:val="en-US"/>
        </w:rPr>
        <w:t xml:space="preserve"> = 0.172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[0.</w:t>
      </w:r>
      <w:r>
        <w:rPr>
          <w:lang w:val="en-US"/>
        </w:rPr>
        <w:t>955</w:t>
      </w:r>
      <w:r>
        <w:rPr>
          <w:lang w:val="en-US"/>
        </w:rPr>
        <w:t>, 0.</w:t>
      </w:r>
      <w:r>
        <w:rPr>
          <w:lang w:val="en-US"/>
        </w:rPr>
        <w:t>992</w:t>
      </w:r>
      <w:r>
        <w:rPr>
          <w:lang w:val="en-US"/>
        </w:rPr>
        <w:t>]</w:t>
      </w:r>
      <w:r>
        <w:rPr>
          <w:lang w:val="en-US"/>
        </w:rPr>
        <w:t xml:space="preserve">, with minor true variability both within and between studies. That is </w:t>
      </w:r>
      <m:oMath>
        <m:r>
          <w:rPr>
            <w:rFonts w:ascii="Cambria Math" w:hAnsi="Cambria Math"/>
            <w:lang w:val="en-US"/>
          </w:rPr>
          <m:t>ω</m:t>
        </m:r>
      </m:oMath>
      <w:r>
        <w:rPr>
          <w:rFonts w:eastAsiaTheme="minorEastAsia"/>
          <w:lang w:val="en-US"/>
        </w:rPr>
        <w:t xml:space="preserve"> = 0.049 </w:t>
      </w:r>
      <w:r>
        <w:rPr>
          <w:rFonts w:eastAsiaTheme="minorEastAsia"/>
          <w:lang w:val="en-US"/>
        </w:rPr>
        <w:t xml:space="preserve">and </w:t>
      </w:r>
      <m:oMath>
        <m:r>
          <w:rPr>
            <w:rFonts w:ascii="Cambria Math" w:eastAsiaTheme="minorEastAsia" w:hAnsi="Cambria Math"/>
            <w:lang w:val="en-US"/>
          </w:rPr>
          <m:t>τ</m:t>
        </m:r>
      </m:oMath>
      <w:r>
        <w:rPr>
          <w:rFonts w:eastAsiaTheme="minorEastAsia"/>
          <w:lang w:val="en-US"/>
        </w:rPr>
        <w:t xml:space="preserve"> = </w:t>
      </w:r>
      <w:r>
        <w:rPr>
          <w:rFonts w:eastAsiaTheme="minorEastAsia"/>
          <w:lang w:val="en-US"/>
        </w:rPr>
        <w:t>0</w:t>
      </w:r>
      <w:r>
        <w:rPr>
          <w:rFonts w:eastAsiaTheme="minorEastAsia"/>
          <w:lang w:val="en-US"/>
        </w:rPr>
        <w:t>.0</w:t>
      </w:r>
      <w:r>
        <w:rPr>
          <w:rFonts w:eastAsiaTheme="minorEastAsia"/>
          <w:lang w:val="en-US"/>
        </w:rPr>
        <w:t>37. The overall average</w:t>
      </w:r>
      <w:r w:rsidR="009A0D77">
        <w:rPr>
          <w:lang w:val="en-US"/>
        </w:rPr>
        <w:t xml:space="preserve"> balanced accuracy and </w:t>
      </w:r>
      <m:oMath>
        <m:r>
          <w:rPr>
            <w:rFonts w:ascii="Cambria Math" w:hAnsi="Cambria Math"/>
            <w:lang w:val="en-US"/>
          </w:rPr>
          <m:t>nMCC</m:t>
        </m:r>
      </m:oMath>
      <w:r w:rsidR="009A0D77">
        <w:rPr>
          <w:rFonts w:eastAsiaTheme="minorEastAsia"/>
          <w:lang w:val="en-US"/>
        </w:rPr>
        <w:t xml:space="preserve"> </w:t>
      </w:r>
      <w:r w:rsidR="009A0D77">
        <w:rPr>
          <w:lang w:val="en-US"/>
        </w:rPr>
        <w:t>w</w:t>
      </w:r>
      <w:r w:rsidR="001D0746">
        <w:rPr>
          <w:lang w:val="en-US"/>
        </w:rPr>
        <w:t>ere</w:t>
      </w:r>
      <w:r w:rsidR="009A0D77">
        <w:rPr>
          <w:lang w:val="en-US"/>
        </w:rPr>
        <w:t xml:space="preserve"> 0.905, </w:t>
      </w:r>
      <w:r w:rsidR="009A0D77">
        <w:rPr>
          <w:lang w:val="en-US"/>
        </w:rPr>
        <w:t xml:space="preserve">95% </w:t>
      </w:r>
      <w:r w:rsidR="009A0D77">
        <w:rPr>
          <w:i/>
          <w:lang w:val="en-US"/>
        </w:rPr>
        <w:t>CI</w:t>
      </w:r>
      <w:r w:rsidR="009A0D77">
        <w:rPr>
          <w:lang w:val="en-US"/>
        </w:rPr>
        <w:t>[0.</w:t>
      </w:r>
      <w:r w:rsidR="009A0D77">
        <w:rPr>
          <w:lang w:val="en-US"/>
        </w:rPr>
        <w:t>859</w:t>
      </w:r>
      <w:r w:rsidR="009A0D77">
        <w:rPr>
          <w:lang w:val="en-US"/>
        </w:rPr>
        <w:t>, 0.</w:t>
      </w:r>
      <w:r w:rsidR="009A0D77">
        <w:rPr>
          <w:lang w:val="en-US"/>
        </w:rPr>
        <w:t>943</w:t>
      </w:r>
      <w:r w:rsidR="009A0D77">
        <w:rPr>
          <w:lang w:val="en-US"/>
        </w:rPr>
        <w:t>]</w:t>
      </w:r>
      <w:r w:rsidR="009A0D77">
        <w:rPr>
          <w:lang w:val="en-US"/>
        </w:rPr>
        <w:t xml:space="preserve"> and </w:t>
      </w:r>
      <w:r w:rsidR="001D0746">
        <w:rPr>
          <w:lang w:val="en-US"/>
        </w:rPr>
        <w:t xml:space="preserve">0.879, </w:t>
      </w:r>
      <w:r w:rsidR="001D0746">
        <w:rPr>
          <w:lang w:val="en-US"/>
        </w:rPr>
        <w:t xml:space="preserve">95% </w:t>
      </w:r>
      <w:r w:rsidR="001D0746">
        <w:rPr>
          <w:i/>
          <w:lang w:val="en-US"/>
        </w:rPr>
        <w:t>CI</w:t>
      </w:r>
      <w:r w:rsidR="001D0746">
        <w:rPr>
          <w:lang w:val="en-US"/>
        </w:rPr>
        <w:t>[0.</w:t>
      </w:r>
      <w:r w:rsidR="001D0746">
        <w:rPr>
          <w:lang w:val="en-US"/>
        </w:rPr>
        <w:t>720</w:t>
      </w:r>
      <w:r w:rsidR="001D0746">
        <w:rPr>
          <w:lang w:val="en-US"/>
        </w:rPr>
        <w:t>, 0.</w:t>
      </w:r>
      <w:r w:rsidR="001D0746">
        <w:rPr>
          <w:lang w:val="en-US"/>
        </w:rPr>
        <w:t>951</w:t>
      </w:r>
      <w:r w:rsidR="001D0746">
        <w:rPr>
          <w:lang w:val="en-US"/>
        </w:rPr>
        <w:t>]</w:t>
      </w:r>
      <w:r w:rsidR="009A0D77">
        <w:rPr>
          <w:lang w:val="en-US"/>
        </w:rPr>
        <w:t>, respectively</w:t>
      </w:r>
    </w:p>
    <w:p w14:paraId="19F578DF" w14:textId="546BB70D" w:rsidR="00390F19" w:rsidRPr="000837FF" w:rsidRDefault="009A0D77" w:rsidP="00610A3E">
      <w:pPr>
        <w:spacing w:after="0" w:line="360" w:lineRule="auto"/>
        <w:ind w:firstLine="1304"/>
        <w:jc w:val="both"/>
        <w:rPr>
          <w:lang w:val="en-US"/>
        </w:rPr>
      </w:pPr>
      <w:r>
        <w:rPr>
          <w:lang w:val="en-US"/>
        </w:rPr>
        <w:t xml:space="preserve">With these results in mind, we suggest that automated tools with recall equal or close to having a recall of 80% and specificity rates above 95%) used be accepted </w:t>
      </w:r>
    </w:p>
    <w:p w14:paraId="03338350" w14:textId="1CE925FD"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9B4A683">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9498207" w:rsidR="007B03A8" w:rsidRDefault="00B947BB">
                            <w:pPr>
                              <w:rPr>
                                <w:noProof/>
                                <w:lang w:val="en-US"/>
                              </w:rPr>
                            </w:pPr>
                            <w:r>
                              <w:rPr>
                                <w:noProof/>
                                <w:lang w:val="en-US"/>
                              </w:rPr>
                              <w:drawing>
                                <wp:inline distT="0" distB="0" distL="0" distR="0" wp14:anchorId="640E09FA" wp14:editId="2E48A161">
                                  <wp:extent cx="7742555" cy="451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4">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9498207" w:rsidR="007B03A8" w:rsidRDefault="00B947BB">
                      <w:pPr>
                        <w:rPr>
                          <w:noProof/>
                          <w:lang w:val="en-US"/>
                        </w:rPr>
                      </w:pPr>
                      <w:r>
                        <w:rPr>
                          <w:noProof/>
                          <w:lang w:val="en-US"/>
                        </w:rPr>
                        <w:drawing>
                          <wp:inline distT="0" distB="0" distL="0" distR="0" wp14:anchorId="640E09FA" wp14:editId="2E48A161">
                            <wp:extent cx="7742555" cy="451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4">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v:textbox>
                <w10:wrap type="square"/>
              </v:shape>
            </w:pict>
          </mc:Fallback>
        </mc:AlternateContent>
      </w:r>
      <w:r>
        <w:rPr>
          <w:i/>
          <w:lang w:val="en-US"/>
        </w:rPr>
        <w:br w:type="page"/>
      </w:r>
    </w:p>
    <w:p w14:paraId="6A413CBF" w14:textId="77777777" w:rsidR="00F8213A" w:rsidRDefault="00F8213A" w:rsidP="006F63D8">
      <w:pPr>
        <w:spacing w:after="0" w:line="360" w:lineRule="auto"/>
        <w:rPr>
          <w:lang w:val="en-US"/>
        </w:rPr>
      </w:pPr>
    </w:p>
    <w:p w14:paraId="7D252E31" w14:textId="4E83F261" w:rsidR="00C43AB0" w:rsidRPr="00FF502E" w:rsidRDefault="00F8213A" w:rsidP="00C43AB0">
      <w:pPr>
        <w:spacing w:after="0" w:line="360" w:lineRule="auto"/>
        <w:rPr>
          <w:lang w:val="en-US"/>
        </w:rPr>
      </w:pPr>
      <w:r w:rsidRPr="00625587">
        <w:rPr>
          <w:noProof/>
          <w:lang w:val="en-US"/>
        </w:rPr>
        <mc:AlternateContent>
          <mc:Choice Requires="wps">
            <w:drawing>
              <wp:anchor distT="45720" distB="45720" distL="114300" distR="114300" simplePos="0" relativeHeight="251661312" behindDoc="0" locked="0" layoutInCell="1" allowOverlap="1" wp14:anchorId="741311F9" wp14:editId="1AA57199">
                <wp:simplePos x="0" y="0"/>
                <wp:positionH relativeFrom="margin">
                  <wp:posOffset>-295275</wp:posOffset>
                </wp:positionH>
                <wp:positionV relativeFrom="paragraph">
                  <wp:posOffset>782320</wp:posOffset>
                </wp:positionV>
                <wp:extent cx="7934325" cy="5716905"/>
                <wp:effectExtent l="381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311F9" id="_x0000_s1039" type="#_x0000_t202" style="position:absolute;margin-left:-23.25pt;margin-top:61.6pt;width:624.75pt;height:450.15pt;rotation:-90;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" stroked="f">
                <v:textbo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v:textbox>
                <w10:wrap type="square" anchorx="margin"/>
              </v:shape>
            </w:pict>
          </mc:Fallback>
        </mc:AlternateContent>
      </w:r>
      <w:r>
        <w:rPr>
          <w:lang w:val="en-US"/>
        </w:rPr>
        <w:br w:type="page"/>
      </w:r>
    </w:p>
    <w:p w14:paraId="1DBDD087" w14:textId="77777777" w:rsidR="00011FF4" w:rsidRDefault="00C43AB0" w:rsidP="00C43AB0">
      <w:pPr>
        <w:spacing w:after="0" w:line="360" w:lineRule="auto"/>
        <w:rPr>
          <w:rFonts w:eastAsiaTheme="minorEastAsia"/>
          <w:b/>
          <w:lang w:val="en-US"/>
        </w:rPr>
      </w:pPr>
      <w:r>
        <w:rPr>
          <w:rFonts w:eastAsiaTheme="minorEastAsia"/>
          <w:b/>
          <w:lang w:val="en-US"/>
        </w:rPr>
        <w:lastRenderedPageBreak/>
        <w:t>3.3 Transparency and open</w:t>
      </w:r>
      <w:r w:rsidR="00011FF4">
        <w:rPr>
          <w:rFonts w:eastAsiaTheme="minorEastAsia"/>
          <w:b/>
          <w:lang w:val="en-US"/>
        </w:rPr>
        <w:t>n</w:t>
      </w:r>
      <w:r>
        <w:rPr>
          <w:rFonts w:eastAsiaTheme="minorEastAsia"/>
          <w:b/>
          <w:lang w:val="en-US"/>
        </w:rPr>
        <w:t>ess</w:t>
      </w:r>
    </w:p>
    <w:p w14:paraId="166A00D2" w14:textId="221B9664" w:rsidR="00C43AB0" w:rsidRPr="00011FF4" w:rsidRDefault="00011FF4" w:rsidP="00FF502E">
      <w:pPr>
        <w:spacing w:after="0" w:line="360" w:lineRule="auto"/>
        <w:jc w:val="both"/>
        <w:rPr>
          <w:rFonts w:eastAsiaTheme="minorEastAsia"/>
          <w:lang w:val="en-US"/>
        </w:rPr>
      </w:pPr>
      <w:commentRangeStart w:id="2"/>
      <w:r>
        <w:rPr>
          <w:rFonts w:eastAsiaTheme="minorEastAsia"/>
          <w:lang w:val="en-US"/>
        </w:rPr>
        <w:t xml:space="preserve">All data and codes behind our developed benchmarks scheme and classifier experiment are available at </w:t>
      </w:r>
      <w:hyperlink r:id="rId16" w:tgtFrame="_blank" w:history="1">
        <w:r w:rsidRPr="00167EBB">
          <w:rPr>
            <w:rStyle w:val="Hyperlink"/>
            <w:lang w:val="en-US"/>
          </w:rPr>
          <w:t>bit.ly/3spivoG</w:t>
        </w:r>
      </w:hyperlink>
      <w:r>
        <w:rPr>
          <w:rStyle w:val="Hyperlink"/>
          <w:lang w:val="en-US"/>
        </w:rPr>
        <w:t xml:space="preserve">.  </w:t>
      </w:r>
      <w:commentRangeEnd w:id="2"/>
      <w:r w:rsidR="00192248">
        <w:rPr>
          <w:rStyle w:val="CommentReference"/>
        </w:rPr>
        <w:commentReference w:id="2"/>
      </w:r>
    </w:p>
    <w:p w14:paraId="62C95BC5" w14:textId="4ACEFE78" w:rsidR="00C43AB0" w:rsidRDefault="00C43AB0" w:rsidP="00FF502E">
      <w:pPr>
        <w:spacing w:after="0" w:line="360" w:lineRule="auto"/>
        <w:jc w:val="both"/>
        <w:rPr>
          <w:lang w:val="en-US"/>
        </w:rPr>
      </w:pPr>
    </w:p>
    <w:p w14:paraId="154F46C9" w14:textId="48AEC837" w:rsidR="00557E46" w:rsidRDefault="00557E46" w:rsidP="00FF502E">
      <w:pPr>
        <w:spacing w:after="0" w:line="360" w:lineRule="auto"/>
        <w:jc w:val="both"/>
        <w:rPr>
          <w:b/>
          <w:lang w:val="en-US"/>
        </w:rPr>
      </w:pPr>
      <w:r w:rsidRPr="00557E46">
        <w:rPr>
          <w:b/>
          <w:lang w:val="en-US"/>
        </w:rPr>
        <w:t xml:space="preserve">4 </w:t>
      </w:r>
      <w:commentRangeStart w:id="3"/>
      <w:r w:rsidRPr="00557E46">
        <w:rPr>
          <w:b/>
          <w:lang w:val="en-US"/>
        </w:rPr>
        <w:t>PROMPT DEVELOPMENT</w:t>
      </w:r>
      <w:r w:rsidR="00CE10BC">
        <w:rPr>
          <w:b/>
          <w:lang w:val="en-US"/>
        </w:rPr>
        <w:t xml:space="preserve"> AND FUNCTION CALLING</w:t>
      </w:r>
      <w:commentRangeEnd w:id="3"/>
      <w:r w:rsidR="00345A58">
        <w:rPr>
          <w:rStyle w:val="CommentReference"/>
        </w:rPr>
        <w:commentReference w:id="3"/>
      </w:r>
    </w:p>
    <w:p w14:paraId="7C212272" w14:textId="1AACE636" w:rsidR="00FF502E" w:rsidRDefault="00FF502E" w:rsidP="00FF502E">
      <w:pPr>
        <w:spacing w:after="0" w:line="360" w:lineRule="auto"/>
        <w:jc w:val="both"/>
        <w:rPr>
          <w:lang w:val="en-US"/>
        </w:rPr>
      </w:pPr>
      <w:r>
        <w:rPr>
          <w:lang w:val="en-US"/>
        </w:rPr>
        <w:t>We made the mistaking believing that we needed to add a whole lot of information to the prompt, that is we worked in the beginning with the prompt engineering as if we were training the model</w:t>
      </w:r>
    </w:p>
    <w:p w14:paraId="38A9E9C0" w14:textId="77777777" w:rsidR="00FF502E" w:rsidRPr="00FF502E" w:rsidRDefault="00FF502E" w:rsidP="00FF502E">
      <w:pPr>
        <w:spacing w:after="0" w:line="360" w:lineRule="auto"/>
        <w:jc w:val="both"/>
        <w:rPr>
          <w:lang w:val="en-US"/>
        </w:rPr>
      </w:pPr>
    </w:p>
    <w:p w14:paraId="3680784C" w14:textId="47E3758B" w:rsidR="00FF502E" w:rsidRPr="00065935" w:rsidRDefault="00011FF4" w:rsidP="00FF502E">
      <w:pPr>
        <w:spacing w:after="0" w:line="360" w:lineRule="auto"/>
        <w:jc w:val="both"/>
        <w:rPr>
          <w:lang w:val="en-US"/>
        </w:rPr>
      </w:pPr>
      <w:r>
        <w:rPr>
          <w:i/>
          <w:lang w:val="en-US"/>
        </w:rPr>
        <w:t xml:space="preserve">Prompt engineering </w:t>
      </w:r>
      <w:r w:rsidR="00FF502E" w:rsidRPr="00065935">
        <w:rPr>
          <w:lang w:val="en-US"/>
        </w:rPr>
        <w:t xml:space="preserve">excerpt. This prompt was developed in less than 5 minutes. </w:t>
      </w:r>
    </w:p>
    <w:p w14:paraId="21A75379" w14:textId="77777777" w:rsidR="00FF502E" w:rsidRDefault="00FF502E" w:rsidP="00FF502E">
      <w:pPr>
        <w:spacing w:after="0" w:line="360" w:lineRule="auto"/>
        <w:jc w:val="both"/>
        <w:rPr>
          <w:i/>
          <w:lang w:val="en-US"/>
        </w:rPr>
      </w:pPr>
    </w:p>
    <w:p w14:paraId="6B6F07F6" w14:textId="0C1D7549" w:rsidR="00FF502E" w:rsidRDefault="00FF502E" w:rsidP="00FF502E">
      <w:pPr>
        <w:spacing w:after="0" w:line="360" w:lineRule="auto"/>
        <w:ind w:left="567" w:right="1133"/>
        <w:jc w:val="both"/>
        <w:rPr>
          <w:i/>
          <w:lang w:val="en-US"/>
        </w:rPr>
      </w:pPr>
      <w:r>
        <w:rPr>
          <w:i/>
          <w:lang w:val="en-US"/>
        </w:rPr>
        <w:t>“</w:t>
      </w:r>
      <w:r w:rsidRPr="00FF502E">
        <w:rPr>
          <w:i/>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r>
        <w:rPr>
          <w:i/>
          <w:lang w:val="en-US"/>
        </w:rPr>
        <w:t>”</w:t>
      </w:r>
    </w:p>
    <w:p w14:paraId="6129340E" w14:textId="04BEE251" w:rsidR="00FF502E" w:rsidRDefault="00FF502E" w:rsidP="00FF502E">
      <w:pPr>
        <w:spacing w:after="0" w:line="360" w:lineRule="auto"/>
        <w:jc w:val="both"/>
        <w:rPr>
          <w:i/>
          <w:lang w:val="en-US"/>
        </w:rPr>
      </w:pPr>
    </w:p>
    <w:p w14:paraId="29FD001D" w14:textId="66841D0C" w:rsidR="00FF502E" w:rsidRDefault="00FF502E" w:rsidP="00FF502E">
      <w:pPr>
        <w:spacing w:after="0" w:line="360" w:lineRule="auto"/>
        <w:jc w:val="both"/>
        <w:rPr>
          <w:lang w:val="en-US"/>
        </w:rPr>
      </w:pPr>
      <w:r>
        <w:rPr>
          <w:lang w:val="en-US"/>
        </w:rPr>
        <w:t xml:space="preserve">Then when given study id, title and abstact the AIscreenR automatically pastes together the above text with the following text: </w:t>
      </w:r>
    </w:p>
    <w:p w14:paraId="755B3A96" w14:textId="77777777" w:rsidR="00FF502E" w:rsidRDefault="00FF502E" w:rsidP="00FF502E">
      <w:pPr>
        <w:spacing w:after="0" w:line="360" w:lineRule="auto"/>
        <w:jc w:val="both"/>
        <w:rPr>
          <w:lang w:val="en-US"/>
        </w:rPr>
      </w:pPr>
    </w:p>
    <w:p w14:paraId="40A911B1" w14:textId="4AA6089B" w:rsidR="00FF502E" w:rsidRPr="00FF502E" w:rsidRDefault="00FF502E" w:rsidP="00FF502E">
      <w:pPr>
        <w:spacing w:after="0" w:line="360" w:lineRule="auto"/>
        <w:ind w:left="567" w:right="1133"/>
        <w:jc w:val="both"/>
        <w:rPr>
          <w:i/>
          <w:lang w:val="en-US"/>
        </w:rPr>
      </w:pPr>
      <w:r w:rsidRPr="00FF502E">
        <w:rPr>
          <w:i/>
          <w:lang w:val="en-US"/>
        </w:rPr>
        <w:t>“Now, evaluate the following title and abstract for Study  [the study id is inserted here]:  -Title: [the study title is inserted here]  -Abstract: [the study abstract is inserted here]”</w:t>
      </w:r>
    </w:p>
    <w:p w14:paraId="6C297472" w14:textId="3C24616D" w:rsidR="00FF502E" w:rsidRDefault="00FF502E" w:rsidP="00FF502E">
      <w:pPr>
        <w:spacing w:after="0" w:line="360" w:lineRule="auto"/>
        <w:jc w:val="both"/>
        <w:rPr>
          <w:lang w:val="en-US"/>
        </w:rPr>
      </w:pPr>
    </w:p>
    <w:p w14:paraId="5ABA750D" w14:textId="41B0828E" w:rsidR="00FF502E" w:rsidRDefault="00FF502E" w:rsidP="00FF502E">
      <w:pPr>
        <w:spacing w:after="0" w:line="360" w:lineRule="auto"/>
        <w:jc w:val="both"/>
        <w:rPr>
          <w:lang w:val="en-US"/>
        </w:rPr>
      </w:pPr>
      <w:r>
        <w:rPr>
          <w:lang w:val="en-US"/>
        </w:rPr>
        <w:t xml:space="preserve">How the models should respond to the above request where given to the model via fucntion calling </w:t>
      </w:r>
      <w:r>
        <w:rPr>
          <w:lang w:val="en-US"/>
        </w:rPr>
        <w:fldChar w:fldCharType="begin" w:fldLock="1"/>
      </w:r>
      <w:r w:rsidR="00084E58">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FF502E">
        <w:rPr>
          <w:noProof/>
          <w:lang w:val="en-US"/>
        </w:rPr>
        <w:t>(OpenAI, 2024)</w:t>
      </w:r>
      <w:r>
        <w:rPr>
          <w:lang w:val="en-US"/>
        </w:rPr>
        <w:fldChar w:fldCharType="end"/>
      </w:r>
    </w:p>
    <w:p w14:paraId="5573F23D" w14:textId="77777777" w:rsidR="00FF502E" w:rsidRDefault="00FF502E" w:rsidP="00FF502E">
      <w:pPr>
        <w:spacing w:after="0" w:line="360" w:lineRule="auto"/>
        <w:jc w:val="both"/>
        <w:rPr>
          <w:lang w:val="en-US"/>
        </w:rPr>
      </w:pPr>
    </w:p>
    <w:p w14:paraId="7443B52D" w14:textId="1E6A3587" w:rsidR="00011FF4" w:rsidRDefault="00011FF4" w:rsidP="00FF502E">
      <w:pPr>
        <w:spacing w:after="0" w:line="360" w:lineRule="auto"/>
        <w:jc w:val="both"/>
        <w:rPr>
          <w:lang w:val="en-US"/>
        </w:rPr>
      </w:pPr>
      <w:r>
        <w:rPr>
          <w:lang w:val="en-US"/>
        </w:rPr>
        <w:t>In hindsight, there was no need to add multiple inclusion criteria to a single prompt but it seems not to matter when workin</w:t>
      </w:r>
      <w:r w:rsidR="00A46794">
        <w:rPr>
          <w:lang w:val="en-US"/>
        </w:rPr>
        <w:t>g</w:t>
      </w:r>
      <w:r>
        <w:rPr>
          <w:lang w:val="en-US"/>
        </w:rPr>
        <w:t xml:space="preserve"> with simple screening cases. </w:t>
      </w:r>
      <w:r w:rsidR="00A46794">
        <w:rPr>
          <w:lang w:val="en-US"/>
        </w:rPr>
        <w:t xml:space="preserve">The more concise, the better performance of </w:t>
      </w:r>
      <w:r w:rsidR="00A46794">
        <w:rPr>
          <w:lang w:val="en-US"/>
        </w:rPr>
        <w:lastRenderedPageBreak/>
        <w:t xml:space="preserve">the screening. Therefore, we suggest using hierarchical screening when multiple inclusion/exclusion criteria are applied in the screening. </w:t>
      </w:r>
    </w:p>
    <w:p w14:paraId="50A472C9" w14:textId="77777777" w:rsidR="00EA13BE" w:rsidRPr="001A14D6" w:rsidRDefault="00EA13BE" w:rsidP="00EA13BE">
      <w:pPr>
        <w:spacing w:after="0" w:line="360" w:lineRule="auto"/>
        <w:rPr>
          <w:b/>
          <w:lang w:val="en-US"/>
        </w:rPr>
      </w:pPr>
      <w:r>
        <w:rPr>
          <w:b/>
          <w:lang w:val="en-US"/>
        </w:rPr>
        <w:t>Figure x: Hierarchical screening</w:t>
      </w:r>
    </w:p>
    <w:p w14:paraId="4FD462C8" w14:textId="77777777" w:rsidR="00EA13BE" w:rsidRPr="00065935" w:rsidRDefault="00EA13BE" w:rsidP="00EA13BE">
      <w:pPr>
        <w:jc w:val="center"/>
        <w:rPr>
          <w:b/>
          <w:lang w:val="en-US"/>
        </w:rPr>
      </w:pPr>
      <w:r w:rsidRPr="0083250E">
        <w:rPr>
          <w:b/>
          <w:noProof/>
        </w:rPr>
        <mc:AlternateContent>
          <mc:Choice Requires="wps">
            <w:drawing>
              <wp:anchor distT="45720" distB="45720" distL="114300" distR="114300" simplePos="0" relativeHeight="251663360" behindDoc="0" locked="0" layoutInCell="1" allowOverlap="1" wp14:anchorId="7FDF684D" wp14:editId="38B156F9">
                <wp:simplePos x="0" y="0"/>
                <wp:positionH relativeFrom="column">
                  <wp:posOffset>740410</wp:posOffset>
                </wp:positionH>
                <wp:positionV relativeFrom="paragraph">
                  <wp:posOffset>163830</wp:posOffset>
                </wp:positionV>
                <wp:extent cx="2360930" cy="4476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D19B2D6" w14:textId="77777777" w:rsidR="00EA13BE" w:rsidRPr="00743706" w:rsidRDefault="00EA13BE" w:rsidP="00EA13BE">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DF684D" id="_x0000_s1040" type="#_x0000_t202" style="position:absolute;left:0;text-align:left;margin-left:58.3pt;margin-top:12.9pt;width:185.9pt;height:35.2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5uvJwIAAE0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KOnm68nAgAATQQAAA4AAAAAAAAAAAAAAAAALgIAAGRycy9lMm9E&#10;b2MueG1sUEsBAi0AFAAGAAgAAAAhAN95HHLeAAAACQEAAA8AAAAAAAAAAAAAAAAAgQQAAGRycy9k&#10;b3ducmV2LnhtbFBLBQYAAAAABAAEAPMAAACMBQAAAAA=&#10;">
                <v:textbox>
                  <w:txbxContent>
                    <w:p w14:paraId="6D19B2D6" w14:textId="77777777" w:rsidR="00EA13BE" w:rsidRPr="00743706" w:rsidRDefault="00EA13BE" w:rsidP="00EA13BE">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21DE83BA" w14:textId="77777777" w:rsidR="00EA13BE" w:rsidRDefault="00EA13BE" w:rsidP="00EA13BE">
      <w:pPr>
        <w:spacing w:after="0" w:line="360" w:lineRule="auto"/>
        <w:rPr>
          <w:i/>
          <w:lang w:val="en-US"/>
        </w:rPr>
      </w:pPr>
      <w:r w:rsidRPr="0083250E">
        <w:rPr>
          <w:b/>
          <w:noProof/>
        </w:rPr>
        <mc:AlternateContent>
          <mc:Choice Requires="wps">
            <w:drawing>
              <wp:anchor distT="45720" distB="45720" distL="114300" distR="114300" simplePos="0" relativeHeight="251669504" behindDoc="0" locked="0" layoutInCell="1" allowOverlap="1" wp14:anchorId="066251D2" wp14:editId="04E9A415">
                <wp:simplePos x="0" y="0"/>
                <wp:positionH relativeFrom="page">
                  <wp:posOffset>4524375</wp:posOffset>
                </wp:positionH>
                <wp:positionV relativeFrom="paragraph">
                  <wp:posOffset>100330</wp:posOffset>
                </wp:positionV>
                <wp:extent cx="1543050" cy="8667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0DEEB25B" w14:textId="77777777" w:rsidR="00EA13BE" w:rsidRPr="00743706" w:rsidRDefault="00EA13BE" w:rsidP="00EA13BE">
                            <w:pPr>
                              <w:rPr>
                                <w:i/>
                                <w:lang w:val="en-US"/>
                              </w:rPr>
                            </w:pPr>
                            <w:r w:rsidRPr="00743706">
                              <w:rPr>
                                <w:i/>
                                <w:lang w:val="en-US"/>
                              </w:rPr>
                              <w:t>If included, the record moves to next prompt, otherwise the record is excluded</w:t>
                            </w:r>
                          </w:p>
                          <w:p w14:paraId="193D1538" w14:textId="77777777" w:rsidR="00EA13BE" w:rsidRPr="00743706" w:rsidRDefault="00EA13BE" w:rsidP="00EA13B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251D2" id="_x0000_s1041" type="#_x0000_t202" style="position:absolute;margin-left:356.25pt;margin-top:7.9pt;width:121.5pt;height:68.2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">
                <v:textbox>
                  <w:txbxContent>
                    <w:p w14:paraId="0DEEB25B" w14:textId="77777777" w:rsidR="00EA13BE" w:rsidRPr="00743706" w:rsidRDefault="00EA13BE" w:rsidP="00EA13BE">
                      <w:pPr>
                        <w:rPr>
                          <w:i/>
                          <w:lang w:val="en-US"/>
                        </w:rPr>
                      </w:pPr>
                      <w:r w:rsidRPr="00743706">
                        <w:rPr>
                          <w:i/>
                          <w:lang w:val="en-US"/>
                        </w:rPr>
                        <w:t>If included, the record moves to next prompt, otherwise the record is excluded</w:t>
                      </w:r>
                    </w:p>
                    <w:p w14:paraId="193D1538" w14:textId="77777777" w:rsidR="00EA13BE" w:rsidRPr="00743706" w:rsidRDefault="00EA13BE" w:rsidP="00EA13BE">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664384" behindDoc="0" locked="0" layoutInCell="1" allowOverlap="1" wp14:anchorId="1248755A" wp14:editId="00CAA842">
                <wp:simplePos x="0" y="0"/>
                <wp:positionH relativeFrom="column">
                  <wp:posOffset>3213735</wp:posOffset>
                </wp:positionH>
                <wp:positionV relativeFrom="paragraph">
                  <wp:posOffset>43180</wp:posOffset>
                </wp:positionV>
                <wp:extent cx="400050" cy="981075"/>
                <wp:effectExtent l="0" t="0" r="38100" b="28575"/>
                <wp:wrapNone/>
                <wp:docPr id="9" name="Right Brace 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CFB81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253.05pt;margin-top:3.4pt;width:31.5pt;height:7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" adj="734" strokecolor="black [3200]" strokeweight=".5pt">
                <v:stroke joinstyle="miter"/>
              </v:shape>
            </w:pict>
          </mc:Fallback>
        </mc:AlternateContent>
      </w:r>
    </w:p>
    <w:p w14:paraId="70702DB7"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3600" behindDoc="0" locked="0" layoutInCell="1" allowOverlap="1" wp14:anchorId="79A5A60B" wp14:editId="62DFEB6E">
                <wp:simplePos x="0" y="0"/>
                <wp:positionH relativeFrom="margin">
                  <wp:posOffset>1955165</wp:posOffset>
                </wp:positionH>
                <wp:positionV relativeFrom="paragraph">
                  <wp:posOffset>75565</wp:posOffset>
                </wp:positionV>
                <wp:extent cx="9525" cy="5429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9D46D9" id="_x0000_t32" coordsize="21600,21600" o:spt="32" o:oned="t" path="m,l21600,21600e" filled="f">
                <v:path arrowok="t" fillok="f" o:connecttype="none"/>
                <o:lock v:ext="edit" shapetype="t"/>
              </v:shapetype>
              <v:shape id="Straight Arrow Connector 20" o:spid="_x0000_s1026" type="#_x0000_t32" style="position:absolute;margin-left:153.95pt;margin-top:5.95pt;width:.75pt;height:42.75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" strokecolor="black [3200]" strokeweight=".5pt">
                <v:stroke endarrow="block" joinstyle="miter"/>
                <w10:wrap anchorx="margin"/>
              </v:shape>
            </w:pict>
          </mc:Fallback>
        </mc:AlternateContent>
      </w:r>
    </w:p>
    <w:p w14:paraId="1A96B9B2" w14:textId="77777777" w:rsidR="00EA13BE" w:rsidRDefault="00EA13BE" w:rsidP="00EA13BE">
      <w:pPr>
        <w:spacing w:after="0" w:line="360" w:lineRule="auto"/>
        <w:rPr>
          <w:b/>
          <w:i/>
          <w:lang w:val="en-US"/>
        </w:rPr>
      </w:pPr>
    </w:p>
    <w:p w14:paraId="235EB104"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0528" behindDoc="0" locked="0" layoutInCell="1" allowOverlap="1" wp14:anchorId="4357D4DF" wp14:editId="1B8E36CC">
                <wp:simplePos x="0" y="0"/>
                <wp:positionH relativeFrom="margin">
                  <wp:posOffset>768985</wp:posOffset>
                </wp:positionH>
                <wp:positionV relativeFrom="paragraph">
                  <wp:posOffset>127635</wp:posOffset>
                </wp:positionV>
                <wp:extent cx="2360930" cy="4476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763B5BF" w14:textId="77777777" w:rsidR="00EA13BE" w:rsidRPr="00743706" w:rsidRDefault="00EA13BE" w:rsidP="00EA13BE">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57D4DF" id="_x0000_s1042" type="#_x0000_t202" style="position:absolute;margin-left:60.55pt;margin-top:10.05pt;width:185.9pt;height:35.25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k1JgIAAE0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">
                <v:textbox>
                  <w:txbxContent>
                    <w:p w14:paraId="5763B5BF" w14:textId="77777777" w:rsidR="00EA13BE" w:rsidRPr="00743706" w:rsidRDefault="00EA13BE" w:rsidP="00EA13BE">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02B9A7A5"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67456" behindDoc="0" locked="0" layoutInCell="1" allowOverlap="1" wp14:anchorId="39D8E409" wp14:editId="50B10263">
                <wp:simplePos x="0" y="0"/>
                <wp:positionH relativeFrom="page">
                  <wp:posOffset>4495800</wp:posOffset>
                </wp:positionH>
                <wp:positionV relativeFrom="paragraph">
                  <wp:posOffset>134620</wp:posOffset>
                </wp:positionV>
                <wp:extent cx="1543050" cy="8763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27404744" w14:textId="77777777" w:rsidR="00EA13BE" w:rsidRPr="00743706" w:rsidRDefault="00EA13BE" w:rsidP="00EA13BE">
                            <w:pPr>
                              <w:rPr>
                                <w:i/>
                                <w:lang w:val="en-US"/>
                              </w:rPr>
                            </w:pPr>
                            <w:r w:rsidRPr="00743706">
                              <w:rPr>
                                <w:i/>
                                <w:lang w:val="en-US"/>
                              </w:rPr>
                              <w:t>If included, the record moves to next prompt, otherwise the record is excluded</w:t>
                            </w:r>
                          </w:p>
                          <w:p w14:paraId="67FABE3D" w14:textId="77777777" w:rsidR="00EA13BE" w:rsidRPr="00743706" w:rsidRDefault="00EA13BE" w:rsidP="00EA13B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E409" id="_x0000_s1043" type="#_x0000_t202" style="position:absolute;margin-left:354pt;margin-top:10.6pt;width:121.5pt;height:69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Bg7n1aJgIAAE0EAAAOAAAAAAAAAAAAAAAAAC4CAABkcnMvZTJv&#10;RG9jLnhtbFBLAQItABQABgAIAAAAIQA+DJt44AAAAAoBAAAPAAAAAAAAAAAAAAAAAIAEAABkcnMv&#10;ZG93bnJldi54bWxQSwUGAAAAAAQABADzAAAAjQUAAAAA&#10;">
                <v:textbox>
                  <w:txbxContent>
                    <w:p w14:paraId="27404744" w14:textId="77777777" w:rsidR="00EA13BE" w:rsidRPr="00743706" w:rsidRDefault="00EA13BE" w:rsidP="00EA13BE">
                      <w:pPr>
                        <w:rPr>
                          <w:i/>
                          <w:lang w:val="en-US"/>
                        </w:rPr>
                      </w:pPr>
                      <w:r w:rsidRPr="00743706">
                        <w:rPr>
                          <w:i/>
                          <w:lang w:val="en-US"/>
                        </w:rPr>
                        <w:t>If included, the record moves to next prompt, otherwise the record is excluded</w:t>
                      </w:r>
                    </w:p>
                    <w:p w14:paraId="67FABE3D" w14:textId="77777777" w:rsidR="00EA13BE" w:rsidRPr="00743706" w:rsidRDefault="00EA13BE" w:rsidP="00EA13BE">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665408" behindDoc="0" locked="0" layoutInCell="1" allowOverlap="1" wp14:anchorId="31B576FE" wp14:editId="19A2BEC0">
                <wp:simplePos x="0" y="0"/>
                <wp:positionH relativeFrom="column">
                  <wp:posOffset>3219450</wp:posOffset>
                </wp:positionH>
                <wp:positionV relativeFrom="paragraph">
                  <wp:posOffset>76200</wp:posOffset>
                </wp:positionV>
                <wp:extent cx="400050" cy="981075"/>
                <wp:effectExtent l="0" t="0" r="38100" b="28575"/>
                <wp:wrapNone/>
                <wp:docPr id="10" name="Right Brace 10"/>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90677" id="Right Brace 10" o:spid="_x0000_s1026" type="#_x0000_t88" style="position:absolute;margin-left:253.5pt;margin-top:6pt;width:31.5pt;height:7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gjzXy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27611978"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4624" behindDoc="0" locked="0" layoutInCell="1" allowOverlap="1" wp14:anchorId="137C8260" wp14:editId="2AA26050">
                <wp:simplePos x="0" y="0"/>
                <wp:positionH relativeFrom="margin">
                  <wp:posOffset>1974215</wp:posOffset>
                </wp:positionH>
                <wp:positionV relativeFrom="paragraph">
                  <wp:posOffset>99060</wp:posOffset>
                </wp:positionV>
                <wp:extent cx="9525" cy="5429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C7EC2" id="Straight Arrow Connector 21" o:spid="_x0000_s1026" type="#_x0000_t32" style="position:absolute;margin-left:155.45pt;margin-top:7.8pt;width:.75pt;height:42.75pt;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" strokecolor="black [3200]" strokeweight=".5pt">
                <v:stroke endarrow="block" joinstyle="miter"/>
                <w10:wrap anchorx="margin"/>
              </v:shape>
            </w:pict>
          </mc:Fallback>
        </mc:AlternateContent>
      </w:r>
    </w:p>
    <w:p w14:paraId="531AD0BC" w14:textId="77777777" w:rsidR="00EA13BE" w:rsidRDefault="00EA13BE" w:rsidP="00EA13BE">
      <w:pPr>
        <w:spacing w:after="0" w:line="360" w:lineRule="auto"/>
        <w:rPr>
          <w:b/>
          <w:i/>
          <w:lang w:val="en-US"/>
        </w:rPr>
      </w:pPr>
    </w:p>
    <w:p w14:paraId="46C6995C"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1552" behindDoc="0" locked="0" layoutInCell="1" allowOverlap="1" wp14:anchorId="3255A2D2" wp14:editId="1A543040">
                <wp:simplePos x="0" y="0"/>
                <wp:positionH relativeFrom="margin">
                  <wp:posOffset>788035</wp:posOffset>
                </wp:positionH>
                <wp:positionV relativeFrom="paragraph">
                  <wp:posOffset>114300</wp:posOffset>
                </wp:positionV>
                <wp:extent cx="2360930" cy="4476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19610F64" w14:textId="77777777" w:rsidR="00EA13BE" w:rsidRPr="00743706" w:rsidRDefault="00EA13BE" w:rsidP="00EA13BE">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55A2D2" id="_x0000_s1044" type="#_x0000_t202" style="position:absolute;margin-left:62.05pt;margin-top:9pt;width:185.9pt;height:35.25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">
                <v:textbox>
                  <w:txbxContent>
                    <w:p w14:paraId="19610F64" w14:textId="77777777" w:rsidR="00EA13BE" w:rsidRPr="00743706" w:rsidRDefault="00EA13BE" w:rsidP="00EA13BE">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4BF628D3"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68480" behindDoc="0" locked="0" layoutInCell="1" allowOverlap="1" wp14:anchorId="2ACBD88C" wp14:editId="693F4FC5">
                <wp:simplePos x="0" y="0"/>
                <wp:positionH relativeFrom="page">
                  <wp:posOffset>4533900</wp:posOffset>
                </wp:positionH>
                <wp:positionV relativeFrom="paragraph">
                  <wp:posOffset>254635</wp:posOffset>
                </wp:positionV>
                <wp:extent cx="1552575" cy="8286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3B983204" w14:textId="77777777" w:rsidR="00EA13BE" w:rsidRDefault="00EA13BE" w:rsidP="00EA13BE">
                            <w:pPr>
                              <w:spacing w:after="0"/>
                            </w:pPr>
                          </w:p>
                          <w:p w14:paraId="58C39041" w14:textId="77777777" w:rsidR="00EA13BE" w:rsidRPr="0083250E" w:rsidRDefault="00EA13BE" w:rsidP="00EA13BE">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BD88C" id="_x0000_s1045" type="#_x0000_t202" style="position:absolute;margin-left:357pt;margin-top:20.05pt;width:122.25pt;height:65.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">
                <v:textbox>
                  <w:txbxContent>
                    <w:p w14:paraId="3B983204" w14:textId="77777777" w:rsidR="00EA13BE" w:rsidRDefault="00EA13BE" w:rsidP="00EA13BE">
                      <w:pPr>
                        <w:spacing w:after="0"/>
                      </w:pPr>
                    </w:p>
                    <w:p w14:paraId="58C39041" w14:textId="77777777" w:rsidR="00EA13BE" w:rsidRPr="0083250E" w:rsidRDefault="00EA13BE" w:rsidP="00EA13BE">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666432" behindDoc="0" locked="0" layoutInCell="1" allowOverlap="1" wp14:anchorId="3CE41B66" wp14:editId="15FBE1F0">
                <wp:simplePos x="0" y="0"/>
                <wp:positionH relativeFrom="column">
                  <wp:posOffset>3242310</wp:posOffset>
                </wp:positionH>
                <wp:positionV relativeFrom="paragraph">
                  <wp:posOffset>197485</wp:posOffset>
                </wp:positionV>
                <wp:extent cx="400050" cy="981075"/>
                <wp:effectExtent l="0" t="0" r="38100" b="28575"/>
                <wp:wrapNone/>
                <wp:docPr id="11" name="Right Brace 11"/>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375915" id="Right Brace 11" o:spid="_x0000_s1026" type="#_x0000_t88" style="position:absolute;margin-left:255.3pt;margin-top:15.55pt;width:31.5pt;height:7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ZybIoF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3D890EA7"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5648" behindDoc="0" locked="0" layoutInCell="1" allowOverlap="1" wp14:anchorId="7B176B68" wp14:editId="4C806FF7">
                <wp:simplePos x="0" y="0"/>
                <wp:positionH relativeFrom="margin">
                  <wp:posOffset>2002790</wp:posOffset>
                </wp:positionH>
                <wp:positionV relativeFrom="paragraph">
                  <wp:posOffset>38735</wp:posOffset>
                </wp:positionV>
                <wp:extent cx="9525" cy="542925"/>
                <wp:effectExtent l="38100" t="0" r="66675" b="47625"/>
                <wp:wrapNone/>
                <wp:docPr id="22" name="Straight Arrow Connector 2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371A5" id="Straight Arrow Connector 22" o:spid="_x0000_s1026" type="#_x0000_t32" style="position:absolute;margin-left:157.7pt;margin-top:3.05pt;width:.75pt;height:42.75pt;z-index:2516756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OG3qBbgAQAAEg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4E03FB01" w14:textId="77777777" w:rsidR="00EA13BE" w:rsidRDefault="00EA13BE" w:rsidP="00EA13BE">
      <w:pPr>
        <w:spacing w:after="0" w:line="360" w:lineRule="auto"/>
        <w:rPr>
          <w:b/>
          <w:i/>
          <w:lang w:val="en-US"/>
        </w:rPr>
      </w:pPr>
    </w:p>
    <w:p w14:paraId="09C12324"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2576" behindDoc="0" locked="0" layoutInCell="1" allowOverlap="1" wp14:anchorId="765421E1" wp14:editId="14A4BC10">
                <wp:simplePos x="0" y="0"/>
                <wp:positionH relativeFrom="margin">
                  <wp:posOffset>826135</wp:posOffset>
                </wp:positionH>
                <wp:positionV relativeFrom="paragraph">
                  <wp:posOffset>120650</wp:posOffset>
                </wp:positionV>
                <wp:extent cx="2360930" cy="4476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181EE6B" w14:textId="77777777" w:rsidR="00EA13BE" w:rsidRPr="00743706" w:rsidRDefault="00EA13BE" w:rsidP="00EA13BE">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5421E1" id="_x0000_s1046" type="#_x0000_t202" style="position:absolute;margin-left:65.05pt;margin-top:9.5pt;width:185.9pt;height:35.25pt;z-index:251672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">
                <v:textbox>
                  <w:txbxContent>
                    <w:p w14:paraId="6181EE6B" w14:textId="77777777" w:rsidR="00EA13BE" w:rsidRPr="00743706" w:rsidRDefault="00EA13BE" w:rsidP="00EA13BE">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516DE462" w14:textId="77777777" w:rsidR="00EA13BE" w:rsidRDefault="00EA13BE" w:rsidP="00EA13BE">
      <w:pPr>
        <w:spacing w:after="0" w:line="360" w:lineRule="auto"/>
        <w:rPr>
          <w:b/>
          <w:i/>
          <w:lang w:val="en-US"/>
        </w:rPr>
      </w:pPr>
    </w:p>
    <w:p w14:paraId="3A83CB44" w14:textId="77777777" w:rsidR="00EA13BE" w:rsidRPr="00011FF4" w:rsidRDefault="00EA13BE" w:rsidP="00FF502E">
      <w:pPr>
        <w:spacing w:after="0" w:line="360" w:lineRule="auto"/>
        <w:jc w:val="both"/>
        <w:rPr>
          <w:lang w:val="en-US"/>
        </w:rPr>
      </w:pPr>
    </w:p>
    <w:p w14:paraId="393ADA13" w14:textId="792AD0DC" w:rsidR="00FA62AD" w:rsidRPr="00065935" w:rsidRDefault="00065935" w:rsidP="00FF502E">
      <w:pPr>
        <w:spacing w:after="0" w:line="360" w:lineRule="auto"/>
        <w:jc w:val="both"/>
        <w:rPr>
          <w:lang w:val="en-US"/>
        </w:rPr>
      </w:pPr>
      <w:r>
        <w:rPr>
          <w:lang w:val="en-US"/>
        </w:rPr>
        <w:t xml:space="preserve">Ideally, order to prompts so that the ones excluding most references come first. Th will make the screening for efficient and thus cheaper as well. </w:t>
      </w:r>
    </w:p>
    <w:p w14:paraId="79F76B1F" w14:textId="77777777" w:rsidR="00065935" w:rsidRDefault="00065935" w:rsidP="00FF502E">
      <w:pPr>
        <w:spacing w:after="0" w:line="360" w:lineRule="auto"/>
        <w:jc w:val="both"/>
        <w:rPr>
          <w:b/>
          <w:lang w:val="en-US"/>
        </w:rPr>
      </w:pPr>
    </w:p>
    <w:p w14:paraId="2D9D56FD" w14:textId="0493E813" w:rsidR="00296111" w:rsidRDefault="00557E46" w:rsidP="00FF502E">
      <w:pPr>
        <w:spacing w:after="0" w:line="360" w:lineRule="auto"/>
        <w:jc w:val="both"/>
        <w:rPr>
          <w:i/>
          <w:lang w:val="en-US"/>
        </w:rPr>
      </w:pPr>
      <w:r>
        <w:rPr>
          <w:b/>
          <w:lang w:val="en-US"/>
        </w:rPr>
        <w:t>5</w:t>
      </w:r>
      <w:r w:rsidR="00296111" w:rsidRPr="00296111">
        <w:rPr>
          <w:b/>
          <w:lang w:val="en-US"/>
        </w:rPr>
        <w:t xml:space="preserve"> </w:t>
      </w:r>
      <w:r w:rsidR="003259BC">
        <w:rPr>
          <w:b/>
          <w:lang w:val="en-US"/>
        </w:rPr>
        <w:t>CLASSIFIER EXPERIMENT</w:t>
      </w:r>
    </w:p>
    <w:p w14:paraId="4DA013BC" w14:textId="51E2184E" w:rsidR="00303077" w:rsidRPr="003259BC" w:rsidRDefault="003259BC" w:rsidP="00FF502E">
      <w:pPr>
        <w:spacing w:after="0" w:line="360" w:lineRule="auto"/>
        <w:jc w:val="both"/>
        <w:rPr>
          <w:b/>
          <w:i/>
          <w:lang w:val="en-US"/>
        </w:rPr>
      </w:pPr>
      <w:r w:rsidRPr="003259BC">
        <w:rPr>
          <w:b/>
          <w:lang w:val="en-US"/>
        </w:rPr>
        <w:t xml:space="preserve">5.1 </w:t>
      </w:r>
      <w:r w:rsidR="00303077" w:rsidRPr="003259BC">
        <w:rPr>
          <w:b/>
          <w:lang w:val="en-US"/>
        </w:rPr>
        <w:t>Simulation data</w:t>
      </w:r>
    </w:p>
    <w:p w14:paraId="1121F35C" w14:textId="44027F2B" w:rsidR="00F8213A" w:rsidRDefault="00F8213A" w:rsidP="006F63D8">
      <w:pPr>
        <w:spacing w:after="0" w:line="360" w:lineRule="auto"/>
        <w:rPr>
          <w:lang w:val="en-US"/>
        </w:rPr>
      </w:pPr>
      <w:r>
        <w:rPr>
          <w:lang w:val="en-US"/>
        </w:rPr>
        <w:t>FRIENDS and FTT</w:t>
      </w:r>
      <w:r w:rsidR="00AF4595">
        <w:rPr>
          <w:lang w:val="en-US"/>
        </w:rPr>
        <w:t>, only citation records with abstracts</w:t>
      </w:r>
      <w:r w:rsidR="00FF502E">
        <w:rPr>
          <w:lang w:val="en-US"/>
        </w:rPr>
        <w:t>. We do not aim to show that GPT API models works for every single type of review. We are more interested in setting up general guidelines that if these are accommodate you can use the GPT API model. We don’t believe that GPT API models are appropiate in all reviews but we believe that they can be valuable in many review if used correctly</w:t>
      </w:r>
    </w:p>
    <w:p w14:paraId="451A485B" w14:textId="186CF4F8" w:rsidR="005F5FAC" w:rsidRDefault="005F5FAC" w:rsidP="006F63D8">
      <w:pPr>
        <w:spacing w:after="0" w:line="360" w:lineRule="auto"/>
        <w:rPr>
          <w:lang w:val="en-US"/>
        </w:rPr>
      </w:pPr>
      <w:r>
        <w:rPr>
          <w:lang w:val="en-US"/>
        </w:rPr>
        <w:t xml:space="preserve">What type of reviews. </w:t>
      </w:r>
    </w:p>
    <w:p w14:paraId="26FE94C1" w14:textId="48153D7D" w:rsidR="00EA13BE" w:rsidRDefault="00EA13BE" w:rsidP="006F63D8">
      <w:pPr>
        <w:spacing w:after="0" w:line="360" w:lineRule="auto"/>
        <w:rPr>
          <w:lang w:val="en-US"/>
        </w:rPr>
      </w:pPr>
      <w:r>
        <w:rPr>
          <w:lang w:val="en-US"/>
        </w:rPr>
        <w:t>We did</w:t>
      </w:r>
    </w:p>
    <w:p w14:paraId="51E3FC38" w14:textId="195D8FD2" w:rsidR="00FF502E" w:rsidRDefault="005F5FAC" w:rsidP="006F63D8">
      <w:pPr>
        <w:spacing w:after="0" w:line="360" w:lineRule="auto"/>
        <w:rPr>
          <w:lang w:val="en-US"/>
        </w:rPr>
      </w:pPr>
      <w:r>
        <w:rPr>
          <w:lang w:val="en-US"/>
        </w:rPr>
        <w:t xml:space="preserve">How many titles and abstracts used. </w:t>
      </w:r>
      <w:r w:rsidR="00FF502E">
        <w:rPr>
          <w:lang w:val="en-US"/>
        </w:rPr>
        <w:t xml:space="preserve">Trained with 200 records. Retrospective data. We used FRIENDS to show that the pre-training issue does not affect the performance of the GPT models. </w:t>
      </w:r>
    </w:p>
    <w:p w14:paraId="3EC67F63" w14:textId="3BEC7601" w:rsidR="00C03E98" w:rsidRPr="003259BC" w:rsidRDefault="003259BC" w:rsidP="006F63D8">
      <w:pPr>
        <w:spacing w:after="0" w:line="360" w:lineRule="auto"/>
        <w:rPr>
          <w:b/>
          <w:lang w:val="en-US"/>
        </w:rPr>
      </w:pPr>
      <w:r w:rsidRPr="003259BC">
        <w:rPr>
          <w:b/>
          <w:lang w:val="en-US"/>
        </w:rPr>
        <w:lastRenderedPageBreak/>
        <w:t>5.2 Results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7263A3">
        <w:trPr>
          <w:trHeight w:val="688"/>
        </w:trPr>
        <w:tc>
          <w:tcPr>
            <w:tcW w:w="2155" w:type="dxa"/>
            <w:tcBorders>
              <w:left w:val="nil"/>
              <w:bottom w:val="single" w:sz="4" w:space="0" w:color="auto"/>
              <w:right w:val="nil"/>
            </w:tcBorders>
          </w:tcPr>
          <w:p w14:paraId="6011BFE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6F63D8">
            <w:pPr>
              <w:spacing w:line="360" w:lineRule="auto"/>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Raw aggrement (%)</w:t>
            </w:r>
          </w:p>
          <w:p w14:paraId="2349F2EE" w14:textId="10943F66" w:rsidR="007263A3" w:rsidRPr="00AF4595"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w:t>
            </w:r>
          </w:p>
        </w:tc>
      </w:tr>
      <w:tr w:rsidR="007263A3" w14:paraId="02340728" w14:textId="77777777" w:rsidTr="007263A3">
        <w:trPr>
          <w:trHeight w:val="344"/>
        </w:trPr>
        <w:tc>
          <w:tcPr>
            <w:tcW w:w="2155" w:type="dxa"/>
            <w:tcBorders>
              <w:left w:val="nil"/>
              <w:bottom w:val="nil"/>
              <w:right w:val="nil"/>
            </w:tcBorders>
          </w:tcPr>
          <w:p w14:paraId="2B5123FB"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FFT</w:t>
            </w:r>
          </w:p>
        </w:tc>
        <w:tc>
          <w:tcPr>
            <w:tcW w:w="707" w:type="dxa"/>
            <w:tcBorders>
              <w:left w:val="nil"/>
              <w:bottom w:val="nil"/>
              <w:right w:val="nil"/>
            </w:tcBorders>
          </w:tcPr>
          <w:p w14:paraId="62DE16CB" w14:textId="77777777" w:rsidR="007263A3" w:rsidRPr="008D1FE3" w:rsidRDefault="007263A3" w:rsidP="006F63D8">
            <w:pPr>
              <w:spacing w:line="360" w:lineRule="auto"/>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6F63D8">
            <w:pPr>
              <w:spacing w:line="360" w:lineRule="auto"/>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6F63D8">
            <w:pPr>
              <w:spacing w:line="360" w:lineRule="auto"/>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6F63D8">
            <w:pPr>
              <w:spacing w:line="360" w:lineRule="auto"/>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6F63D8">
            <w:pPr>
              <w:spacing w:line="360" w:lineRule="auto"/>
              <w:rPr>
                <w:rFonts w:cs="Times New Roman"/>
                <w:sz w:val="20"/>
                <w:szCs w:val="20"/>
                <w:lang w:val="en-US"/>
              </w:rPr>
            </w:pPr>
          </w:p>
        </w:tc>
      </w:tr>
      <w:tr w:rsidR="007263A3" w14:paraId="2EDFC57A" w14:textId="77777777" w:rsidTr="007263A3">
        <w:trPr>
          <w:trHeight w:val="688"/>
        </w:trPr>
        <w:tc>
          <w:tcPr>
            <w:tcW w:w="2155" w:type="dxa"/>
            <w:tcBorders>
              <w:top w:val="nil"/>
              <w:left w:val="nil"/>
              <w:bottom w:val="nil"/>
              <w:right w:val="nil"/>
            </w:tcBorders>
          </w:tcPr>
          <w:p w14:paraId="21033F1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98C3C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(incl. prop = .5)</w:t>
            </w:r>
          </w:p>
        </w:tc>
        <w:tc>
          <w:tcPr>
            <w:tcW w:w="707" w:type="dxa"/>
            <w:tcBorders>
              <w:top w:val="nil"/>
              <w:left w:val="nil"/>
              <w:bottom w:val="nil"/>
              <w:right w:val="nil"/>
            </w:tcBorders>
          </w:tcPr>
          <w:p w14:paraId="439B9963"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71</w:t>
            </w:r>
          </w:p>
          <w:p w14:paraId="2ACD761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(49/69)</w:t>
            </w:r>
          </w:p>
        </w:tc>
        <w:tc>
          <w:tcPr>
            <w:tcW w:w="1903" w:type="dxa"/>
            <w:tcBorders>
              <w:top w:val="nil"/>
              <w:left w:val="nil"/>
              <w:bottom w:val="nil"/>
              <w:right w:val="nil"/>
            </w:tcBorders>
          </w:tcPr>
          <w:p w14:paraId="2738677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95.6</w:t>
            </w:r>
          </w:p>
          <w:p w14:paraId="39E6E8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(3888/4066)</w:t>
            </w:r>
          </w:p>
        </w:tc>
        <w:tc>
          <w:tcPr>
            <w:tcW w:w="2192" w:type="dxa"/>
            <w:tcBorders>
              <w:top w:val="nil"/>
              <w:left w:val="nil"/>
              <w:bottom w:val="nil"/>
              <w:right w:val="nil"/>
            </w:tcBorders>
          </w:tcPr>
          <w:p w14:paraId="6A60F2B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95.2</w:t>
            </w:r>
          </w:p>
          <w:p w14:paraId="244B64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(3937/4135)</w:t>
            </w:r>
          </w:p>
        </w:tc>
        <w:tc>
          <w:tcPr>
            <w:tcW w:w="733" w:type="dxa"/>
            <w:tcBorders>
              <w:top w:val="nil"/>
              <w:left w:val="nil"/>
              <w:bottom w:val="nil"/>
              <w:right w:val="nil"/>
            </w:tcBorders>
          </w:tcPr>
          <w:p w14:paraId="7B590B5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83.3</w:t>
            </w:r>
          </w:p>
        </w:tc>
      </w:tr>
      <w:tr w:rsidR="007263A3" w14:paraId="23CF56C8" w14:textId="77777777" w:rsidTr="007263A3">
        <w:trPr>
          <w:trHeight w:val="688"/>
        </w:trPr>
        <w:tc>
          <w:tcPr>
            <w:tcW w:w="2155" w:type="dxa"/>
            <w:tcBorders>
              <w:top w:val="nil"/>
              <w:left w:val="nil"/>
              <w:bottom w:val="nil"/>
              <w:right w:val="nil"/>
            </w:tcBorders>
          </w:tcPr>
          <w:p w14:paraId="59A79C9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0E2FC47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.3)</w:t>
            </w:r>
          </w:p>
        </w:tc>
        <w:tc>
          <w:tcPr>
            <w:tcW w:w="707" w:type="dxa"/>
            <w:tcBorders>
              <w:top w:val="nil"/>
              <w:left w:val="nil"/>
              <w:bottom w:val="nil"/>
              <w:right w:val="nil"/>
            </w:tcBorders>
          </w:tcPr>
          <w:p w14:paraId="5991FBF9"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87.4</w:t>
            </w:r>
          </w:p>
        </w:tc>
      </w:tr>
      <w:tr w:rsidR="007263A3" w14:paraId="37D130AC" w14:textId="77777777" w:rsidTr="007263A3">
        <w:trPr>
          <w:trHeight w:val="688"/>
        </w:trPr>
        <w:tc>
          <w:tcPr>
            <w:tcW w:w="2155" w:type="dxa"/>
            <w:tcBorders>
              <w:top w:val="nil"/>
              <w:left w:val="nil"/>
              <w:bottom w:val="nil"/>
              <w:right w:val="nil"/>
            </w:tcBorders>
          </w:tcPr>
          <w:p w14:paraId="6440F73E"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91.8</w:t>
            </w:r>
          </w:p>
        </w:tc>
      </w:tr>
      <w:tr w:rsidR="007263A3" w14:paraId="30448492" w14:textId="77777777" w:rsidTr="007263A3">
        <w:trPr>
          <w:trHeight w:val="344"/>
        </w:trPr>
        <w:tc>
          <w:tcPr>
            <w:tcW w:w="2155" w:type="dxa"/>
            <w:tcBorders>
              <w:top w:val="nil"/>
              <w:left w:val="nil"/>
              <w:bottom w:val="nil"/>
              <w:right w:val="nil"/>
            </w:tcBorders>
          </w:tcPr>
          <w:p w14:paraId="6F451A83"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nil"/>
              <w:right w:val="nil"/>
            </w:tcBorders>
          </w:tcPr>
          <w:p w14:paraId="4917003C" w14:textId="77777777" w:rsidR="007263A3" w:rsidRPr="008D1FE3" w:rsidRDefault="007263A3" w:rsidP="006F63D8">
            <w:pPr>
              <w:spacing w:line="360" w:lineRule="auto"/>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6F63D8">
            <w:pPr>
              <w:spacing w:line="360" w:lineRule="auto"/>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6F63D8">
            <w:pPr>
              <w:spacing w:line="360" w:lineRule="auto"/>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6F63D8">
            <w:pPr>
              <w:spacing w:line="360" w:lineRule="auto"/>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6F63D8">
            <w:pPr>
              <w:spacing w:line="360" w:lineRule="auto"/>
              <w:jc w:val="center"/>
              <w:rPr>
                <w:rFonts w:cs="Times New Roman"/>
                <w:sz w:val="20"/>
                <w:szCs w:val="20"/>
                <w:lang w:val="en-US"/>
              </w:rPr>
            </w:pPr>
          </w:p>
        </w:tc>
      </w:tr>
      <w:tr w:rsidR="007263A3" w14:paraId="65420711" w14:textId="77777777" w:rsidTr="007263A3">
        <w:trPr>
          <w:trHeight w:val="688"/>
        </w:trPr>
        <w:tc>
          <w:tcPr>
            <w:tcW w:w="2155" w:type="dxa"/>
            <w:tcBorders>
              <w:top w:val="nil"/>
              <w:left w:val="nil"/>
              <w:bottom w:val="nil"/>
              <w:right w:val="nil"/>
            </w:tcBorders>
          </w:tcPr>
          <w:p w14:paraId="4F9EA570"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3D8FB5"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.5)</w:t>
            </w:r>
          </w:p>
        </w:tc>
        <w:tc>
          <w:tcPr>
            <w:tcW w:w="707" w:type="dxa"/>
            <w:tcBorders>
              <w:top w:val="nil"/>
              <w:left w:val="nil"/>
              <w:bottom w:val="nil"/>
              <w:right w:val="nil"/>
            </w:tcBorders>
          </w:tcPr>
          <w:p w14:paraId="18BEDA50"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96.9</w:t>
            </w:r>
          </w:p>
          <w:p w14:paraId="1AB39AE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(62/64)</w:t>
            </w:r>
          </w:p>
        </w:tc>
        <w:tc>
          <w:tcPr>
            <w:tcW w:w="1903" w:type="dxa"/>
            <w:tcBorders>
              <w:top w:val="nil"/>
              <w:left w:val="nil"/>
              <w:bottom w:val="nil"/>
              <w:right w:val="nil"/>
            </w:tcBorders>
          </w:tcPr>
          <w:p w14:paraId="774A292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76.5</w:t>
            </w:r>
          </w:p>
          <w:p w14:paraId="731A38A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(1930/2511)</w:t>
            </w:r>
          </w:p>
        </w:tc>
        <w:tc>
          <w:tcPr>
            <w:tcW w:w="2192" w:type="dxa"/>
            <w:tcBorders>
              <w:top w:val="nil"/>
              <w:left w:val="nil"/>
              <w:bottom w:val="nil"/>
              <w:right w:val="nil"/>
            </w:tcBorders>
          </w:tcPr>
          <w:p w14:paraId="4FFB42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77.1</w:t>
            </w:r>
          </w:p>
          <w:p w14:paraId="7530CDA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(1992/2575)</w:t>
            </w:r>
          </w:p>
        </w:tc>
        <w:tc>
          <w:tcPr>
            <w:tcW w:w="733" w:type="dxa"/>
            <w:tcBorders>
              <w:top w:val="nil"/>
              <w:left w:val="nil"/>
              <w:bottom w:val="nil"/>
              <w:right w:val="nil"/>
            </w:tcBorders>
          </w:tcPr>
          <w:p w14:paraId="6C4F63E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86.7</w:t>
            </w:r>
          </w:p>
        </w:tc>
      </w:tr>
      <w:tr w:rsidR="007263A3" w14:paraId="7C5D7C9B" w14:textId="77777777" w:rsidTr="007263A3">
        <w:trPr>
          <w:trHeight w:val="688"/>
        </w:trPr>
        <w:tc>
          <w:tcPr>
            <w:tcW w:w="2155" w:type="dxa"/>
            <w:tcBorders>
              <w:top w:val="nil"/>
              <w:left w:val="nil"/>
              <w:bottom w:val="nil"/>
              <w:right w:val="nil"/>
            </w:tcBorders>
          </w:tcPr>
          <w:p w14:paraId="3115FFA1"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89.8</w:t>
            </w:r>
          </w:p>
          <w:p w14:paraId="60F399A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(2256/2511)</w:t>
            </w:r>
          </w:p>
        </w:tc>
        <w:tc>
          <w:tcPr>
            <w:tcW w:w="2192" w:type="dxa"/>
            <w:tcBorders>
              <w:top w:val="nil"/>
              <w:left w:val="nil"/>
              <w:bottom w:val="nil"/>
              <w:right w:val="nil"/>
            </w:tcBorders>
          </w:tcPr>
          <w:p w14:paraId="7C5A36F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90.0</w:t>
            </w:r>
          </w:p>
          <w:p w14:paraId="2BFA99E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(2317/2575)</w:t>
            </w:r>
          </w:p>
        </w:tc>
        <w:tc>
          <w:tcPr>
            <w:tcW w:w="733" w:type="dxa"/>
            <w:tcBorders>
              <w:top w:val="nil"/>
              <w:left w:val="nil"/>
              <w:bottom w:val="nil"/>
              <w:right w:val="nil"/>
            </w:tcBorders>
          </w:tcPr>
          <w:p w14:paraId="47EE675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92.6</w:t>
            </w:r>
          </w:p>
        </w:tc>
      </w:tr>
      <w:tr w:rsidR="007263A3" w14:paraId="1AB72D18" w14:textId="77777777" w:rsidTr="007263A3">
        <w:trPr>
          <w:trHeight w:val="673"/>
        </w:trPr>
        <w:tc>
          <w:tcPr>
            <w:tcW w:w="2155" w:type="dxa"/>
            <w:tcBorders>
              <w:top w:val="nil"/>
              <w:left w:val="nil"/>
              <w:right w:val="nil"/>
            </w:tcBorders>
          </w:tcPr>
          <w:p w14:paraId="29824BA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5200B269"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w:t>
            </w:r>
            <w:r>
              <w:rPr>
                <w:rFonts w:cs="Times New Roman"/>
                <w:sz w:val="20"/>
                <w:szCs w:val="20"/>
              </w:rPr>
              <w:t>7</w:t>
            </w:r>
          </w:p>
          <w:p w14:paraId="2A5C58B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w:t>
            </w:r>
            <w:commentRangeStart w:id="5"/>
            <w:r w:rsidRPr="008D1FE3">
              <w:rPr>
                <w:rFonts w:cs="Times New Roman"/>
                <w:sz w:val="20"/>
                <w:szCs w:val="20"/>
              </w:rPr>
              <w:t>2455/2511</w:t>
            </w:r>
            <w:commentRangeEnd w:id="5"/>
            <w:r>
              <w:rPr>
                <w:rStyle w:val="CommentReference"/>
              </w:rPr>
              <w:commentReference w:id="5"/>
            </w:r>
            <w:r w:rsidRPr="008D1FE3">
              <w:rPr>
                <w:rFonts w:cs="Times New Roman"/>
                <w:sz w:val="20"/>
                <w:szCs w:val="20"/>
              </w:rPr>
              <w:t>)</w:t>
            </w:r>
          </w:p>
        </w:tc>
        <w:tc>
          <w:tcPr>
            <w:tcW w:w="2192" w:type="dxa"/>
            <w:tcBorders>
              <w:top w:val="nil"/>
              <w:left w:val="nil"/>
              <w:right w:val="nil"/>
            </w:tcBorders>
          </w:tcPr>
          <w:p w14:paraId="33C38F9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97.4</w:t>
            </w:r>
          </w:p>
          <w:p w14:paraId="70684F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(2518/2585)</w:t>
            </w:r>
          </w:p>
        </w:tc>
        <w:tc>
          <w:tcPr>
            <w:tcW w:w="733" w:type="dxa"/>
            <w:tcBorders>
              <w:top w:val="nil"/>
              <w:left w:val="nil"/>
              <w:right w:val="nil"/>
            </w:tcBorders>
          </w:tcPr>
          <w:p w14:paraId="6CAD6C3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2CDBFD5A" w14:textId="77777777" w:rsidR="00FA62AD" w:rsidRPr="00BA1204" w:rsidRDefault="00FA62AD" w:rsidP="006F63D8">
      <w:pPr>
        <w:spacing w:after="0" w:line="360" w:lineRule="auto"/>
        <w:rPr>
          <w:rFonts w:cs="Times New Roman"/>
          <w:sz w:val="20"/>
          <w:szCs w:val="20"/>
          <w:lang w:val="en-US"/>
        </w:rPr>
      </w:pPr>
    </w:p>
    <w:p w14:paraId="7A550CED" w14:textId="6D8D7B8A" w:rsidR="00CD576D" w:rsidRDefault="00CD576D" w:rsidP="006F63D8">
      <w:pPr>
        <w:spacing w:after="0" w:line="360" w:lineRule="auto"/>
        <w:rPr>
          <w:lang w:val="en-US"/>
        </w:rPr>
      </w:pPr>
      <w:commentRangeStart w:id="6"/>
      <w:r>
        <w:rPr>
          <w:noProof/>
          <w:lang w:val="en-US"/>
        </w:rPr>
        <w:drawing>
          <wp:inline distT="0" distB="0" distL="0" distR="0" wp14:anchorId="026FFD10" wp14:editId="22F08CF4">
            <wp:extent cx="2973708" cy="2123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til_juli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3317" cy="2137996"/>
                    </a:xfrm>
                    <a:prstGeom prst="rect">
                      <a:avLst/>
                    </a:prstGeom>
                  </pic:spPr>
                </pic:pic>
              </a:graphicData>
            </a:graphic>
          </wp:inline>
        </w:drawing>
      </w:r>
      <w:commentRangeEnd w:id="6"/>
      <w:r w:rsidR="00FA62AD">
        <w:rPr>
          <w:rStyle w:val="CommentReference"/>
        </w:rPr>
        <w:commentReference w:id="6"/>
      </w:r>
      <w:r w:rsidR="00FA62AD">
        <w:rPr>
          <w:noProof/>
          <w:lang w:val="en-US"/>
        </w:rPr>
        <w:drawing>
          <wp:inline distT="0" distB="0" distL="0" distR="0" wp14:anchorId="67C95E15" wp14:editId="66BBEEFE">
            <wp:extent cx="3080513" cy="22002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822" cy="2206924"/>
                    </a:xfrm>
                    <a:prstGeom prst="rect">
                      <a:avLst/>
                    </a:prstGeom>
                  </pic:spPr>
                </pic:pic>
              </a:graphicData>
            </a:graphic>
          </wp:inline>
        </w:drawing>
      </w:r>
    </w:p>
    <w:p w14:paraId="7896EB71" w14:textId="201DE261" w:rsidR="00CD576D" w:rsidRDefault="00CD576D" w:rsidP="006F63D8">
      <w:pPr>
        <w:spacing w:after="0" w:line="360" w:lineRule="auto"/>
        <w:rPr>
          <w:lang w:val="en-US"/>
        </w:rPr>
      </w:pPr>
    </w:p>
    <w:p w14:paraId="25C61028" w14:textId="6C2A0AE4" w:rsidR="00495581" w:rsidRDefault="00495581" w:rsidP="006F63D8">
      <w:pPr>
        <w:spacing w:after="0" w:line="360" w:lineRule="auto"/>
        <w:rPr>
          <w:lang w:val="en-US"/>
        </w:rPr>
      </w:pPr>
      <w:r>
        <w:rPr>
          <w:lang w:val="en-US"/>
        </w:rPr>
        <w:t>Concise text more important than information-dense prompt.</w:t>
      </w:r>
      <w:r w:rsidR="00CD576D">
        <w:rPr>
          <w:lang w:val="en-US"/>
        </w:rPr>
        <w:t xml:space="preserve"> </w:t>
      </w:r>
    </w:p>
    <w:p w14:paraId="23F0B907" w14:textId="773CC422" w:rsidR="00CD576D" w:rsidRDefault="00CD576D" w:rsidP="006F63D8">
      <w:pPr>
        <w:spacing w:after="0" w:line="360" w:lineRule="auto"/>
        <w:rPr>
          <w:lang w:val="en-US"/>
        </w:rPr>
      </w:pPr>
      <w:r>
        <w:rPr>
          <w:lang w:val="en-US"/>
        </w:rPr>
        <w:t xml:space="preserve">GPT-3.5-turbo is sensitive to the number of times a reference is included across the 10 iterations. If 3.5 models are used then this most efficient threshold must be determined in the test phase.  </w:t>
      </w:r>
    </w:p>
    <w:p w14:paraId="713D5697" w14:textId="3601B92B" w:rsidR="00B120A6" w:rsidRDefault="00B120A6" w:rsidP="006F63D8">
      <w:pPr>
        <w:spacing w:after="0" w:line="360" w:lineRule="auto"/>
        <w:rPr>
          <w:lang w:val="en-US"/>
        </w:rPr>
      </w:pPr>
      <w:r>
        <w:rPr>
          <w:lang w:val="en-US"/>
        </w:rPr>
        <w:t xml:space="preserve">The adequacy of the GPT 3.5 models is very sensitive to the inclusion threshold across the chosen number of iterations. Therefore, we ideally recommend use the GPT-4 model when reviewers have </w:t>
      </w:r>
      <w:r>
        <w:rPr>
          <w:lang w:val="en-US"/>
        </w:rPr>
        <w:lastRenderedPageBreak/>
        <w:t xml:space="preserve">access to this model. Alternatively, reviewers must test the best and most efficient choice of inclusion probability on their test data.  </w:t>
      </w:r>
    </w:p>
    <w:p w14:paraId="64E37F2B" w14:textId="77777777" w:rsidR="00B120A6" w:rsidRDefault="00B120A6" w:rsidP="006F63D8">
      <w:pPr>
        <w:spacing w:after="0" w:line="360" w:lineRule="auto"/>
        <w:rPr>
          <w:lang w:val="en-US"/>
        </w:rPr>
      </w:pPr>
    </w:p>
    <w:p w14:paraId="0A56FE20" w14:textId="77777777" w:rsidR="00136452" w:rsidRDefault="00136452" w:rsidP="006F63D8">
      <w:pPr>
        <w:spacing w:after="0" w:line="360" w:lineRule="auto"/>
        <w:rPr>
          <w:lang w:val="en-US"/>
        </w:rPr>
      </w:pPr>
      <w:r>
        <w:rPr>
          <w:lang w:val="en-US"/>
        </w:rPr>
        <w:t xml:space="preserve">Due to costs, we have not investigated the performance of GPT-4 with 10 iterations. As soon as the cost get close to the current cost of GPT-.3.5 models, users could considered screening all titles and abstracts with 10 iterations. For now suggest just to re-screening all references where humans and GPT disagree. </w:t>
      </w:r>
    </w:p>
    <w:p w14:paraId="465FB84A" w14:textId="1C9F6A3E" w:rsidR="00495581" w:rsidRDefault="00246F91" w:rsidP="006F63D8">
      <w:pPr>
        <w:spacing w:after="0" w:line="360" w:lineRule="auto"/>
        <w:rPr>
          <w:lang w:val="en-US"/>
        </w:rPr>
      </w:pPr>
      <w:r>
        <w:rPr>
          <w:lang w:val="en-US"/>
        </w:rPr>
        <w:t>In contrast with priority screening methods</w:t>
      </w:r>
      <w:r w:rsidR="001B5D51">
        <w:rPr>
          <w:lang w:val="en-US"/>
        </w:rPr>
        <w:t xml:space="preserve"> </w:t>
      </w:r>
      <w:r>
        <w:rPr>
          <w:lang w:val="en-US"/>
        </w:rPr>
        <w:fldChar w:fldCharType="begin" w:fldLock="1"/>
      </w:r>
      <w:r w:rsidR="00AA4BB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EB0949" w:rsidRPr="00EB0949">
        <w:rPr>
          <w:noProof/>
          <w:lang w:val="en-US"/>
        </w:rPr>
        <w:t>(Hou &amp; Tipton, 2024)</w:t>
      </w:r>
      <w:r>
        <w:rPr>
          <w:lang w:val="en-US"/>
        </w:rPr>
        <w:fldChar w:fldCharType="end"/>
      </w:r>
      <w:r>
        <w:rPr>
          <w:lang w:val="en-US"/>
        </w:rPr>
        <w:t>, the gpt models do have the potential to</w:t>
      </w:r>
      <w:r w:rsidR="00495581">
        <w:rPr>
          <w:lang w:val="en-US"/>
        </w:rPr>
        <w:t xml:space="preserve"> find more than 95% of the relevant study cf. </w:t>
      </w:r>
      <w:r>
        <w:rPr>
          <w:lang w:val="en-US"/>
        </w:rPr>
        <w:t xml:space="preserve">FRIENDS. </w:t>
      </w:r>
      <w:r w:rsidR="00495581">
        <w:rPr>
          <w:lang w:val="en-US"/>
        </w:rPr>
        <w:t xml:space="preserve"> </w:t>
      </w:r>
    </w:p>
    <w:p w14:paraId="612DBE3B" w14:textId="4CFAA69D" w:rsidR="005A61A3" w:rsidRDefault="005A61A3" w:rsidP="006F63D8">
      <w:pPr>
        <w:spacing w:after="0" w:line="360" w:lineRule="auto"/>
        <w:rPr>
          <w:lang w:val="en-US"/>
        </w:rPr>
      </w:pPr>
      <w:r>
        <w:rPr>
          <w:lang w:val="en-US"/>
        </w:rPr>
        <w:t>A side-</w:t>
      </w:r>
      <w:r w:rsidR="00EC6241">
        <w:rPr>
          <w:lang w:val="en-US"/>
        </w:rPr>
        <w:t>effect</w:t>
      </w:r>
      <w:r>
        <w:rPr>
          <w:lang w:val="en-US"/>
        </w:rPr>
        <w:t xml:space="preserve"> of this simulation was also to validate the performance of the AIscreenR software. Especially the use of function calling. </w:t>
      </w:r>
    </w:p>
    <w:p w14:paraId="14E65D99" w14:textId="2AACA12E" w:rsidR="005052F2" w:rsidRDefault="005052F2" w:rsidP="006F63D8">
      <w:pPr>
        <w:autoSpaceDE w:val="0"/>
        <w:autoSpaceDN w:val="0"/>
        <w:adjustRightInd w:val="0"/>
        <w:spacing w:after="0" w:line="360" w:lineRule="auto"/>
        <w:jc w:val="both"/>
        <w:rPr>
          <w:rFonts w:cs="Times New Roman"/>
          <w:szCs w:val="24"/>
          <w:lang w:val="en-US"/>
        </w:rPr>
      </w:pPr>
      <w:r>
        <w:rPr>
          <w:rFonts w:cs="Times New Roman"/>
          <w:szCs w:val="24"/>
          <w:lang w:val="en-US"/>
        </w:rPr>
        <w:t xml:space="preserve">Student screening evaluation </w:t>
      </w:r>
      <w:r>
        <w:rPr>
          <w:rFonts w:cs="Times New Roman"/>
          <w:szCs w:val="24"/>
          <w:lang w:val="en-US"/>
        </w:rPr>
        <w:fldChar w:fldCharType="begin" w:fldLock="1"/>
      </w:r>
      <w:r>
        <w:rPr>
          <w:rFonts w:cs="Times New Roman"/>
          <w:szCs w:val="24"/>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Pr>
          <w:rFonts w:cs="Times New Roman"/>
          <w:szCs w:val="24"/>
          <w:lang w:val="en-US"/>
        </w:rPr>
        <w:fldChar w:fldCharType="separate"/>
      </w:r>
      <w:r w:rsidRPr="00905C8C">
        <w:rPr>
          <w:rFonts w:cs="Times New Roman"/>
          <w:noProof/>
          <w:szCs w:val="24"/>
          <w:lang w:val="en-US"/>
        </w:rPr>
        <w:t>(Ng et al., 2014)</w:t>
      </w:r>
      <w:r>
        <w:rPr>
          <w:rFonts w:cs="Times New Roman"/>
          <w:szCs w:val="24"/>
          <w:lang w:val="en-US"/>
        </w:rPr>
        <w:fldChar w:fldCharType="end"/>
      </w:r>
    </w:p>
    <w:p w14:paraId="51363782" w14:textId="77777777" w:rsidR="00296111" w:rsidRDefault="00296111" w:rsidP="006F63D8">
      <w:pPr>
        <w:spacing w:after="0" w:line="360" w:lineRule="auto"/>
        <w:rPr>
          <w:i/>
          <w:lang w:val="en-US"/>
        </w:rPr>
      </w:pPr>
    </w:p>
    <w:p w14:paraId="32E7C4FC" w14:textId="6379E0E1" w:rsidR="00C03E98" w:rsidRDefault="00557E46" w:rsidP="006F63D8">
      <w:pPr>
        <w:spacing w:after="0" w:line="360" w:lineRule="auto"/>
        <w:rPr>
          <w:i/>
          <w:lang w:val="en-US"/>
        </w:rPr>
      </w:pPr>
      <w:r>
        <w:rPr>
          <w:b/>
          <w:lang w:val="en-US"/>
        </w:rPr>
        <w:t>6</w:t>
      </w:r>
      <w:r w:rsidR="00296111">
        <w:rPr>
          <w:i/>
          <w:lang w:val="en-US"/>
        </w:rPr>
        <w:t xml:space="preserve"> </w:t>
      </w:r>
      <w:r w:rsidR="00296111" w:rsidRPr="00296111">
        <w:rPr>
          <w:b/>
          <w:lang w:val="en-US"/>
        </w:rPr>
        <w:t>TENTATIVE GUIDELINES</w:t>
      </w:r>
    </w:p>
    <w:p w14:paraId="5AB8B64A" w14:textId="6B26D037" w:rsidR="00A86CFD" w:rsidRPr="001F0CFC" w:rsidRDefault="00A86CFD" w:rsidP="006F63D8">
      <w:pPr>
        <w:spacing w:after="0" w:line="360" w:lineRule="auto"/>
        <w:rPr>
          <w:i/>
          <w:lang w:val="en-US"/>
        </w:rPr>
      </w:pPr>
      <w:r>
        <w:rPr>
          <w:i/>
          <w:lang w:val="en-US"/>
        </w:rPr>
        <w:t>80% recall and 95% specificity.</w:t>
      </w: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007CD270" w14:textId="07D7FE50" w:rsidR="00C03E98" w:rsidRPr="00AD3408" w:rsidRDefault="00A86CFD" w:rsidP="00AD3408">
      <w:pPr>
        <w:pStyle w:val="ListParagraph"/>
        <w:numPr>
          <w:ilvl w:val="0"/>
          <w:numId w:val="6"/>
        </w:numPr>
        <w:spacing w:after="0" w:line="360" w:lineRule="auto"/>
        <w:rPr>
          <w:i/>
          <w:lang w:val="en-US"/>
        </w:rPr>
      </w:pPr>
      <w:r w:rsidRPr="00AD3408">
        <w:rPr>
          <w:lang w:val="en-US"/>
        </w:rPr>
        <w:t xml:space="preserve">Testing, not training. Less is more. </w:t>
      </w:r>
      <w:r w:rsidR="00C03E98" w:rsidRPr="00AD3408">
        <w:rPr>
          <w:i/>
          <w:lang w:val="en-US"/>
        </w:rPr>
        <w:t xml:space="preserve"> </w:t>
      </w:r>
    </w:p>
    <w:p w14:paraId="20E6C81F" w14:textId="2BC3EB16" w:rsidR="001A14D6" w:rsidRPr="00AD3408" w:rsidRDefault="00743CF7" w:rsidP="00AD3408">
      <w:pPr>
        <w:pStyle w:val="ListParagraph"/>
        <w:numPr>
          <w:ilvl w:val="0"/>
          <w:numId w:val="6"/>
        </w:numPr>
        <w:spacing w:after="0" w:line="360" w:lineRule="auto"/>
        <w:rPr>
          <w:lang w:val="en-US"/>
        </w:rPr>
      </w:pPr>
      <w:r w:rsidRPr="00AD3408">
        <w:rPr>
          <w:lang w:val="en-US"/>
        </w:rPr>
        <w:t xml:space="preserve">We show hierarchical screening can be conducted in the vignette following the AIscreenR package. </w:t>
      </w:r>
    </w:p>
    <w:p w14:paraId="63E9FB0C" w14:textId="0E28AC4D" w:rsidR="00AD3408" w:rsidRDefault="00AD3408" w:rsidP="00AD3408">
      <w:pPr>
        <w:pStyle w:val="ListParagraph"/>
        <w:numPr>
          <w:ilvl w:val="0"/>
          <w:numId w:val="6"/>
        </w:numPr>
        <w:spacing w:after="0" w:line="360" w:lineRule="auto"/>
        <w:rPr>
          <w:lang w:val="en-US"/>
        </w:rPr>
      </w:pPr>
      <w:r w:rsidRPr="00AD3408">
        <w:rPr>
          <w:lang w:val="en-US"/>
        </w:rPr>
        <w:t xml:space="preserve">When reviewers want to keep duplicate screening, we suggest that the GPT API models can be used as a third screener for extra </w:t>
      </w:r>
      <w:r w:rsidR="006E0EAD">
        <w:rPr>
          <w:lang w:val="en-US"/>
        </w:rPr>
        <w:t>in</w:t>
      </w:r>
      <w:r w:rsidRPr="00AD3408">
        <w:rPr>
          <w:lang w:val="en-US"/>
        </w:rPr>
        <w:t>surance that all relevant studies are detected.</w:t>
      </w:r>
    </w:p>
    <w:p w14:paraId="4966C630" w14:textId="6A587D45" w:rsidR="00EA13BE" w:rsidRDefault="00EA13BE" w:rsidP="00AD3408">
      <w:pPr>
        <w:pStyle w:val="ListParagraph"/>
        <w:numPr>
          <w:ilvl w:val="0"/>
          <w:numId w:val="6"/>
        </w:numPr>
        <w:spacing w:after="0" w:line="360" w:lineRule="auto"/>
        <w:rPr>
          <w:lang w:val="en-US"/>
        </w:rPr>
      </w:pPr>
      <w:r>
        <w:rPr>
          <w:lang w:val="en-US"/>
        </w:rPr>
        <w:t>How to set up the workflow presented in Table xx in R, can be found in the accompanied vignette to the AIscreenR</w:t>
      </w:r>
      <w:r w:rsidR="003721BF">
        <w:rPr>
          <w:lang w:val="en-US"/>
        </w:rPr>
        <w:t xml:space="preserve"> package</w:t>
      </w:r>
      <w:r>
        <w:rPr>
          <w:lang w:val="en-US"/>
        </w:rPr>
        <w:t>.</w:t>
      </w:r>
    </w:p>
    <w:p w14:paraId="5FCABE8B" w14:textId="50CF3434" w:rsidR="007E1D1B" w:rsidRDefault="007E1D1B" w:rsidP="00AD3408">
      <w:pPr>
        <w:pStyle w:val="ListParagraph"/>
        <w:numPr>
          <w:ilvl w:val="0"/>
          <w:numId w:val="6"/>
        </w:numPr>
        <w:spacing w:after="0" w:line="360" w:lineRule="auto"/>
        <w:rPr>
          <w:lang w:val="en-US"/>
        </w:rPr>
      </w:pPr>
      <w:r>
        <w:rPr>
          <w:lang w:val="en-US"/>
        </w:rPr>
        <w:t xml:space="preserve">In fact, we want to have  specificity measure that does not equal 100 since we want the GPT model to enable us to double-check grayzone references so that we can be assured that we have not missed any relevant studies.  Find what the human has potentially overlook. </w:t>
      </w:r>
    </w:p>
    <w:p w14:paraId="381291A6" w14:textId="31D5D31C" w:rsidR="007E1D1B" w:rsidRDefault="007E1D1B" w:rsidP="00AD3408">
      <w:pPr>
        <w:pStyle w:val="ListParagraph"/>
        <w:numPr>
          <w:ilvl w:val="0"/>
          <w:numId w:val="6"/>
        </w:numPr>
        <w:spacing w:after="0" w:line="360" w:lineRule="auto"/>
        <w:rPr>
          <w:lang w:val="en-US"/>
        </w:rPr>
      </w:pPr>
      <w:r>
        <w:rPr>
          <w:lang w:val="en-US"/>
        </w:rPr>
        <w:t xml:space="preserve">If the specificity is low, reviewers could work with the screening rule that all records that has been included by at least one screener enters the full-text screening.  </w:t>
      </w:r>
    </w:p>
    <w:p w14:paraId="73109BDB" w14:textId="7BDB2EC6" w:rsidR="007E1D1B" w:rsidRPr="00AD3408" w:rsidRDefault="007E1D1B" w:rsidP="00AD3408">
      <w:pPr>
        <w:pStyle w:val="ListParagraph"/>
        <w:numPr>
          <w:ilvl w:val="0"/>
          <w:numId w:val="6"/>
        </w:numPr>
        <w:spacing w:after="0" w:line="360" w:lineRule="auto"/>
        <w:rPr>
          <w:lang w:val="en-US"/>
        </w:rPr>
      </w:pPr>
      <w:r>
        <w:rPr>
          <w:lang w:val="en-US"/>
        </w:rPr>
        <w:t xml:space="preserve">Start with testing whether using GPT is viable in a given reviews. </w:t>
      </w:r>
    </w:p>
    <w:p w14:paraId="5BB81FE2" w14:textId="5D766E34" w:rsidR="00011FF4" w:rsidRDefault="00011FF4" w:rsidP="006F63D8">
      <w:pPr>
        <w:spacing w:after="0" w:line="360" w:lineRule="auto"/>
        <w:rPr>
          <w:b/>
          <w:lang w:val="en-US"/>
        </w:rPr>
      </w:pPr>
    </w:p>
    <w:p w14:paraId="236E9EA1" w14:textId="7AB79AA3" w:rsidR="00011FF4" w:rsidRDefault="00011FF4" w:rsidP="006F63D8">
      <w:pPr>
        <w:spacing w:after="0" w:line="360" w:lineRule="auto"/>
        <w:rPr>
          <w:b/>
          <w:lang w:val="en-US"/>
        </w:rPr>
      </w:pPr>
      <w:r>
        <w:rPr>
          <w:b/>
          <w:lang w:val="en-US"/>
        </w:rPr>
        <w:t xml:space="preserve">Table x: </w:t>
      </w:r>
      <w:r w:rsidR="008E3D8D">
        <w:rPr>
          <w:b/>
          <w:lang w:val="en-US"/>
        </w:rPr>
        <w:t>W</w:t>
      </w:r>
      <w:r>
        <w:rPr>
          <w:b/>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065935"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lastRenderedPageBreak/>
              <w:t>1</w:t>
            </w:r>
          </w:p>
        </w:tc>
        <w:tc>
          <w:tcPr>
            <w:tcW w:w="8640" w:type="dxa"/>
          </w:tcPr>
          <w:p w14:paraId="2DACDEFA" w14:textId="303CC917" w:rsidR="00011FF4" w:rsidRPr="00011FF4" w:rsidRDefault="00011FF4" w:rsidP="00B36F77">
            <w:pPr>
              <w:spacing w:line="360" w:lineRule="auto"/>
              <w:rPr>
                <w:lang w:val="en-US"/>
              </w:rPr>
            </w:pPr>
            <w:r>
              <w:rPr>
                <w:lang w:val="en-US"/>
              </w:rPr>
              <w:t>Find a minimum of 10 relevant study records (ideally more)</w:t>
            </w:r>
            <w:r w:rsidR="00A21A6B">
              <w:rPr>
                <w:lang w:val="en-US"/>
              </w:rPr>
              <w:t>.</w:t>
            </w:r>
          </w:p>
        </w:tc>
      </w:tr>
      <w:tr w:rsidR="00011FF4" w:rsidRPr="00065935"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26FB53E5" w:rsidR="00011FF4" w:rsidRPr="00011FF4" w:rsidRDefault="00011FF4" w:rsidP="00B36F77">
            <w:pPr>
              <w:spacing w:line="360" w:lineRule="auto"/>
              <w:rPr>
                <w:lang w:val="en-US"/>
              </w:rPr>
            </w:pPr>
            <w:r>
              <w:rPr>
                <w:lang w:val="en-US"/>
              </w:rPr>
              <w:t>Find a minimum of 190 irrelevant study records (ideally random sampled from the pool of records)</w:t>
            </w:r>
            <w:r w:rsidR="00A21A6B">
              <w:rPr>
                <w:lang w:val="en-US"/>
              </w:rPr>
              <w:t>.</w:t>
            </w:r>
          </w:p>
        </w:tc>
      </w:tr>
      <w:tr w:rsidR="00011FF4" w:rsidRPr="00065935"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065935"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065935"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6F0AFFCD" w:rsidR="00011FF4" w:rsidRPr="00011FF4" w:rsidRDefault="00011FF4" w:rsidP="00B36F77">
            <w:pPr>
              <w:spacing w:line="360" w:lineRule="auto"/>
              <w:rPr>
                <w:lang w:val="en-US"/>
              </w:rPr>
            </w:pPr>
            <w:r>
              <w:rPr>
                <w:lang w:val="en-US"/>
              </w:rPr>
              <w:t xml:space="preserve">Repeat step 4 until reaching a recall close to 80% or more, and </w:t>
            </w:r>
            <w:r w:rsidR="00A21A6B">
              <w:rPr>
                <w:lang w:val="en-US"/>
              </w:rPr>
              <w:t xml:space="preserve">a </w:t>
            </w:r>
            <w:r>
              <w:rPr>
                <w:lang w:val="en-US"/>
              </w:rPr>
              <w:t>specificity between 90-100%.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an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065935"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t>6</w:t>
            </w:r>
          </w:p>
        </w:tc>
        <w:tc>
          <w:tcPr>
            <w:tcW w:w="8640" w:type="dxa"/>
          </w:tcPr>
          <w:p w14:paraId="5D8FD64E" w14:textId="77777777" w:rsidR="00011FF4" w:rsidRPr="00011FF4" w:rsidRDefault="00011FF4" w:rsidP="00B36F77">
            <w:pPr>
              <w:spacing w:line="360" w:lineRule="auto"/>
              <w:rPr>
                <w:lang w:val="en-US"/>
              </w:rPr>
            </w:pPr>
            <w:r>
              <w:rPr>
                <w:lang w:val="en-US"/>
              </w:rPr>
              <w:t xml:space="preserve">Manually single screen all study records. If a GPT API model has shown to be a reliable second screener based on the text data, then this can be done by multiple reviewers/screeeners.  </w:t>
            </w:r>
          </w:p>
        </w:tc>
      </w:tr>
      <w:tr w:rsidR="00011FF4" w:rsidRPr="00065935" w14:paraId="3F4B7640" w14:textId="77777777" w:rsidTr="00B36F77">
        <w:tc>
          <w:tcPr>
            <w:tcW w:w="988" w:type="dxa"/>
          </w:tcPr>
          <w:p w14:paraId="6D601EBA" w14:textId="77777777" w:rsidR="00011FF4" w:rsidRPr="00011FF4" w:rsidRDefault="00011FF4" w:rsidP="00B36F77">
            <w:pPr>
              <w:spacing w:line="360" w:lineRule="auto"/>
              <w:rPr>
                <w:lang w:val="en-US"/>
              </w:rPr>
            </w:pPr>
            <w:r w:rsidRPr="00011FF4">
              <w:rPr>
                <w:lang w:val="en-US"/>
              </w:rPr>
              <w:t>7</w:t>
            </w:r>
          </w:p>
        </w:tc>
        <w:tc>
          <w:tcPr>
            <w:tcW w:w="8640" w:type="dxa"/>
          </w:tcPr>
          <w:p w14:paraId="1B87AED9" w14:textId="68D9FF6B" w:rsidR="00011FF4" w:rsidRPr="00011FF4" w:rsidRDefault="00011FF4" w:rsidP="00B36F77">
            <w:pPr>
              <w:spacing w:line="360" w:lineRule="auto"/>
              <w:rPr>
                <w:lang w:val="en-US"/>
              </w:rPr>
            </w:pPr>
            <w:r>
              <w:rPr>
                <w:lang w:val="en-US"/>
              </w:rPr>
              <w:t>Run the TAB screening with the GPT API model</w:t>
            </w:r>
            <w:r w:rsidR="00EA13BE">
              <w:rPr>
                <w:lang w:val="en-US"/>
              </w:rPr>
              <w:t xml:space="preserve">. Consider removing all study records without an abstract and human screen those references. </w:t>
            </w:r>
          </w:p>
        </w:tc>
      </w:tr>
      <w:tr w:rsidR="00011FF4" w14:paraId="7D8A50A2" w14:textId="77777777" w:rsidTr="00B36F77">
        <w:tc>
          <w:tcPr>
            <w:tcW w:w="988" w:type="dxa"/>
          </w:tcPr>
          <w:p w14:paraId="4D0450A9" w14:textId="77777777" w:rsidR="00011FF4" w:rsidRPr="00011FF4" w:rsidRDefault="00011FF4" w:rsidP="00B36F77">
            <w:pPr>
              <w:spacing w:line="360" w:lineRule="auto"/>
              <w:rPr>
                <w:lang w:val="en-US"/>
              </w:rPr>
            </w:pPr>
            <w:r w:rsidRPr="00011FF4">
              <w:rPr>
                <w:lang w:val="en-US"/>
              </w:rPr>
              <w:t>8</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t>agreements</w:t>
            </w:r>
            <w:r w:rsidR="007E1D1B">
              <w:t xml:space="preserve"> between the human and automated screening decisions. </w:t>
            </w:r>
          </w:p>
        </w:tc>
      </w:tr>
    </w:tbl>
    <w:p w14:paraId="3001DA1E" w14:textId="5E3CCC4C" w:rsidR="00011FF4" w:rsidRDefault="00011FF4">
      <w:pPr>
        <w:rPr>
          <w:b/>
          <w:lang w:val="en-US"/>
        </w:rPr>
      </w:pPr>
    </w:p>
    <w:p w14:paraId="1BA28F62" w14:textId="79D1CABA" w:rsidR="004808CD" w:rsidRPr="004808CD" w:rsidRDefault="004808CD" w:rsidP="006F63D8">
      <w:pPr>
        <w:spacing w:after="0" w:line="360" w:lineRule="auto"/>
        <w:rPr>
          <w:b/>
          <w:lang w:val="en-US"/>
        </w:rPr>
      </w:pPr>
      <w:r>
        <w:rPr>
          <w:b/>
          <w:lang w:val="en-US"/>
        </w:rPr>
        <w:t>Figure x: FIND NAME</w:t>
      </w:r>
    </w:p>
    <w:tbl>
      <w:tblPr>
        <w:tblStyle w:val="TableGrid"/>
        <w:tblW w:w="0" w:type="auto"/>
        <w:tblLook w:val="04A0" w:firstRow="1" w:lastRow="0" w:firstColumn="1" w:lastColumn="0" w:noHBand="0" w:noVBand="1"/>
      </w:tblPr>
      <w:tblGrid>
        <w:gridCol w:w="4814"/>
        <w:gridCol w:w="4814"/>
      </w:tblGrid>
      <w:tr w:rsidR="00EA13BE" w14:paraId="4E511A5B" w14:textId="77777777" w:rsidTr="00EA13BE">
        <w:tc>
          <w:tcPr>
            <w:tcW w:w="4814" w:type="dxa"/>
          </w:tcPr>
          <w:p w14:paraId="3C90AC23" w14:textId="77777777" w:rsidR="00EA13BE" w:rsidRDefault="00EA13BE" w:rsidP="006F63D8">
            <w:pPr>
              <w:spacing w:line="360" w:lineRule="auto"/>
              <w:rPr>
                <w:lang w:val="en-US"/>
              </w:rPr>
            </w:pPr>
          </w:p>
        </w:tc>
        <w:tc>
          <w:tcPr>
            <w:tcW w:w="4814" w:type="dxa"/>
          </w:tcPr>
          <w:p w14:paraId="152883B3" w14:textId="77777777" w:rsidR="00EA13BE" w:rsidRDefault="00EA13BE" w:rsidP="006F63D8">
            <w:pPr>
              <w:spacing w:line="360" w:lineRule="auto"/>
              <w:rPr>
                <w:lang w:val="en-US"/>
              </w:rPr>
            </w:pPr>
          </w:p>
        </w:tc>
      </w:tr>
    </w:tbl>
    <w:p w14:paraId="7C7A4C14" w14:textId="6F42A359" w:rsidR="004808CD" w:rsidRPr="00743CF7" w:rsidRDefault="004808CD" w:rsidP="006F63D8">
      <w:pPr>
        <w:spacing w:after="0" w:line="360" w:lineRule="auto"/>
        <w:rPr>
          <w:lang w:val="en-US"/>
        </w:rPr>
      </w:pPr>
    </w:p>
    <w:p w14:paraId="09B1D626" w14:textId="77777777" w:rsidR="00011FF4" w:rsidRDefault="00011FF4" w:rsidP="006F63D8">
      <w:pPr>
        <w:spacing w:after="0" w:line="360" w:lineRule="auto"/>
        <w:rPr>
          <w:b/>
          <w:i/>
          <w:lang w:val="en-US"/>
        </w:rPr>
      </w:pPr>
    </w:p>
    <w:p w14:paraId="3D8E70E4" w14:textId="77777777" w:rsidR="00011FF4" w:rsidRDefault="00011FF4" w:rsidP="006F63D8">
      <w:pPr>
        <w:spacing w:after="0" w:line="360" w:lineRule="auto"/>
        <w:rPr>
          <w:b/>
          <w:i/>
          <w:lang w:val="en-US"/>
        </w:rPr>
      </w:pPr>
    </w:p>
    <w:p w14:paraId="2291F93F" w14:textId="04CAEDF5" w:rsidR="00CF14B2" w:rsidRDefault="00CF14B2" w:rsidP="006F63D8">
      <w:pPr>
        <w:spacing w:after="0" w:line="360" w:lineRule="auto"/>
        <w:rPr>
          <w:b/>
          <w:i/>
          <w:lang w:val="en-US"/>
        </w:rPr>
      </w:pPr>
      <w:r w:rsidRPr="00CF14B2">
        <w:rPr>
          <w:b/>
          <w:i/>
          <w:lang w:val="en-US"/>
        </w:rPr>
        <w:t>5.1. When not to</w:t>
      </w:r>
      <w:r>
        <w:rPr>
          <w:b/>
          <w:i/>
          <w:lang w:val="en-US"/>
        </w:rPr>
        <w:t xml:space="preserve"> </w:t>
      </w:r>
      <w:r w:rsidR="001A14D6">
        <w:rPr>
          <w:b/>
          <w:i/>
          <w:lang w:val="en-US"/>
        </w:rPr>
        <w:t xml:space="preserve">use </w:t>
      </w:r>
      <w:r>
        <w:rPr>
          <w:b/>
          <w:i/>
          <w:lang w:val="en-US"/>
        </w:rPr>
        <w:t>GPT API model for TAB screening?</w:t>
      </w:r>
    </w:p>
    <w:p w14:paraId="78178EF1" w14:textId="77777777" w:rsidR="00955BAF" w:rsidRPr="00955BAF" w:rsidRDefault="00955BAF" w:rsidP="006F63D8">
      <w:pPr>
        <w:spacing w:after="0" w:line="360" w:lineRule="auto"/>
        <w:rPr>
          <w:b/>
          <w:lang w:val="en-US"/>
        </w:rPr>
      </w:pPr>
    </w:p>
    <w:p w14:paraId="4FA1D2D3" w14:textId="1B67D823" w:rsidR="00C03E98" w:rsidRPr="00296111" w:rsidRDefault="00557E46" w:rsidP="006F63D8">
      <w:pPr>
        <w:spacing w:after="0" w:line="360" w:lineRule="auto"/>
        <w:rPr>
          <w:b/>
          <w:lang w:val="en-US"/>
        </w:rPr>
      </w:pPr>
      <w:r>
        <w:rPr>
          <w:b/>
          <w:lang w:val="en-US"/>
        </w:rPr>
        <w:t>7</w:t>
      </w:r>
      <w:r w:rsidR="00296111">
        <w:rPr>
          <w:b/>
          <w:lang w:val="en-US"/>
        </w:rPr>
        <w:t xml:space="preserve"> LIMITATIONS</w:t>
      </w:r>
    </w:p>
    <w:p w14:paraId="0E21D514" w14:textId="1A729525"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p>
    <w:p w14:paraId="54732BE0" w14:textId="30BCA0D9" w:rsidR="00DB1D88" w:rsidRPr="0011702D" w:rsidRDefault="00DB1D88" w:rsidP="006F63D8">
      <w:pPr>
        <w:pStyle w:val="ListParagraph"/>
        <w:numPr>
          <w:ilvl w:val="0"/>
          <w:numId w:val="5"/>
        </w:numPr>
        <w:spacing w:after="0" w:line="360" w:lineRule="auto"/>
        <w:rPr>
          <w:lang w:val="en-US"/>
        </w:rPr>
      </w:pPr>
      <w:r>
        <w:rPr>
          <w:lang w:val="en-US"/>
        </w:rPr>
        <w:t>Different performance across model updates</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lastRenderedPageBreak/>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239975A2" w:rsidR="00A21A6B" w:rsidRDefault="00A21A6B" w:rsidP="006F63D8">
      <w:pPr>
        <w:pStyle w:val="ListParagraph"/>
        <w:numPr>
          <w:ilvl w:val="0"/>
          <w:numId w:val="5"/>
        </w:numPr>
        <w:spacing w:after="0" w:line="360" w:lineRule="auto"/>
        <w:rPr>
          <w:lang w:val="en-US"/>
        </w:rPr>
      </w:pPr>
      <w:r>
        <w:rPr>
          <w:lang w:val="en-US"/>
        </w:rPr>
        <w:t xml:space="preserve">Prizing </w:t>
      </w:r>
    </w:p>
    <w:p w14:paraId="51428631" w14:textId="548FEA42" w:rsidR="00A46794" w:rsidRDefault="00A46794" w:rsidP="006F63D8">
      <w:pPr>
        <w:pStyle w:val="ListParagraph"/>
        <w:numPr>
          <w:ilvl w:val="0"/>
          <w:numId w:val="5"/>
        </w:numPr>
        <w:spacing w:after="0" w:line="360" w:lineRule="auto"/>
        <w:rPr>
          <w:lang w:val="en-US"/>
        </w:rPr>
      </w:pPr>
      <w:r>
        <w:rPr>
          <w:lang w:val="en-US"/>
        </w:rPr>
        <w:t>Depends on available models</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016D783B" w:rsidR="00DF351E" w:rsidRPr="0011702D"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42DDA8E7" w14:textId="723AC353" w:rsidR="00495581" w:rsidRPr="00296111" w:rsidRDefault="00557E46" w:rsidP="006F63D8">
      <w:pPr>
        <w:spacing w:after="0" w:line="360" w:lineRule="auto"/>
        <w:rPr>
          <w:b/>
        </w:rPr>
      </w:pPr>
      <w:r>
        <w:rPr>
          <w:b/>
        </w:rPr>
        <w:t>8</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36A86AAB" w:rsidR="00495581" w:rsidRPr="00CA251A"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064713E9" w14:textId="449A3347" w:rsidR="00C03E98" w:rsidRPr="00296111" w:rsidRDefault="00557E46" w:rsidP="006F63D8">
      <w:pPr>
        <w:spacing w:after="0" w:line="360" w:lineRule="auto"/>
        <w:rPr>
          <w:b/>
        </w:rPr>
      </w:pPr>
      <w:r>
        <w:rPr>
          <w:b/>
        </w:rPr>
        <w:t>9</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lastRenderedPageBreak/>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4B1C2462" w:rsidR="006D796F" w:rsidRPr="0011702D"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marks studies used for the benchmark development </w:t>
      </w:r>
    </w:p>
    <w:p w14:paraId="3B0EB4D1" w14:textId="4FF92B3B" w:rsidR="00032250" w:rsidRPr="00032250" w:rsidRDefault="00A23F06" w:rsidP="00032250">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032250" w:rsidRPr="00032250">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032250" w:rsidRPr="00032250">
        <w:rPr>
          <w:rFonts w:cs="Times New Roman"/>
          <w:i/>
          <w:iCs/>
          <w:noProof/>
          <w:szCs w:val="24"/>
        </w:rPr>
        <w:t>Systems</w:t>
      </w:r>
      <w:r w:rsidR="00032250" w:rsidRPr="00032250">
        <w:rPr>
          <w:rFonts w:cs="Times New Roman"/>
          <w:noProof/>
          <w:szCs w:val="24"/>
        </w:rPr>
        <w:t xml:space="preserve">, </w:t>
      </w:r>
      <w:r w:rsidR="00032250" w:rsidRPr="00032250">
        <w:rPr>
          <w:rFonts w:cs="Times New Roman"/>
          <w:i/>
          <w:iCs/>
          <w:noProof/>
          <w:szCs w:val="24"/>
        </w:rPr>
        <w:t>11</w:t>
      </w:r>
      <w:r w:rsidR="00032250" w:rsidRPr="00032250">
        <w:rPr>
          <w:rFonts w:cs="Times New Roman"/>
          <w:noProof/>
          <w:szCs w:val="24"/>
        </w:rPr>
        <w:t>(7), 351.</w:t>
      </w:r>
    </w:p>
    <w:p w14:paraId="3E3B7ED5"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Ames, H., Hestevik, C. H., &amp; Briggs, A. M. (2024). Acceptability, values, and preferences of older people for chronic low back pain management; a qualitative evidence synthesis. </w:t>
      </w:r>
      <w:r w:rsidRPr="00032250">
        <w:rPr>
          <w:rFonts w:cs="Times New Roman"/>
          <w:i/>
          <w:iCs/>
          <w:noProof/>
          <w:szCs w:val="24"/>
        </w:rPr>
        <w:t>BMC Geriatrics</w:t>
      </w:r>
      <w:r w:rsidRPr="00032250">
        <w:rPr>
          <w:rFonts w:cs="Times New Roman"/>
          <w:noProof/>
          <w:szCs w:val="24"/>
        </w:rPr>
        <w:t xml:space="preserve">, </w:t>
      </w:r>
      <w:r w:rsidRPr="00032250">
        <w:rPr>
          <w:rFonts w:cs="Times New Roman"/>
          <w:i/>
          <w:iCs/>
          <w:noProof/>
          <w:szCs w:val="24"/>
        </w:rPr>
        <w:t>24</w:t>
      </w:r>
      <w:r w:rsidRPr="00032250">
        <w:rPr>
          <w:rFonts w:cs="Times New Roman"/>
          <w:noProof/>
          <w:szCs w:val="24"/>
        </w:rPr>
        <w:t>(1), 1–22. https://doi.org/10.1186/s12877-023-04608-4</w:t>
      </w:r>
    </w:p>
    <w:p w14:paraId="0B7D811B"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Boetje, J., &amp; van de Schoot, R. (2024). The SAFE procedure: a practical stopping heuristic for active learning-based screening in systematic reviews and meta-analyses. </w:t>
      </w:r>
      <w:r w:rsidRPr="00032250">
        <w:rPr>
          <w:rFonts w:cs="Times New Roman"/>
          <w:i/>
          <w:iCs/>
          <w:noProof/>
          <w:szCs w:val="24"/>
        </w:rPr>
        <w:t>Systematic Reviews</w:t>
      </w:r>
      <w:r w:rsidRPr="00032250">
        <w:rPr>
          <w:rFonts w:cs="Times New Roman"/>
          <w:noProof/>
          <w:szCs w:val="24"/>
        </w:rPr>
        <w:t xml:space="preserve">, </w:t>
      </w:r>
      <w:r w:rsidRPr="00032250">
        <w:rPr>
          <w:rFonts w:cs="Times New Roman"/>
          <w:i/>
          <w:iCs/>
          <w:noProof/>
          <w:szCs w:val="24"/>
        </w:rPr>
        <w:t>13</w:t>
      </w:r>
      <w:r w:rsidRPr="00032250">
        <w:rPr>
          <w:rFonts w:cs="Times New Roman"/>
          <w:noProof/>
          <w:szCs w:val="24"/>
        </w:rPr>
        <w:t>(1), 81.</w:t>
      </w:r>
    </w:p>
    <w:p w14:paraId="68CEA679"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Bøg, M., Filges, T., &amp; Jørgensen, A. M. K. (2018). Deployment of personnel to military operations: impact on mental health and social functioning.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14</w:t>
      </w:r>
      <w:r w:rsidRPr="00032250">
        <w:rPr>
          <w:rFonts w:cs="Times New Roman"/>
          <w:noProof/>
          <w:szCs w:val="24"/>
        </w:rPr>
        <w:t>(1), 1–127. https://doi.org/https://doi.org/10.4073/csr.2018.6</w:t>
      </w:r>
    </w:p>
    <w:p w14:paraId="5AD55C9A"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19</w:t>
      </w:r>
      <w:r w:rsidRPr="00032250">
        <w:rPr>
          <w:rFonts w:cs="Times New Roman"/>
          <w:noProof/>
          <w:szCs w:val="24"/>
        </w:rPr>
        <w:t>(3), e1345.</w:t>
      </w:r>
    </w:p>
    <w:p w14:paraId="464E6852"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19</w:t>
      </w:r>
      <w:r w:rsidRPr="00032250">
        <w:rPr>
          <w:rFonts w:cs="Times New Roman"/>
          <w:noProof/>
          <w:szCs w:val="24"/>
        </w:rPr>
        <w:t>(4), e1371. https://doi.org/https://doi.org/10.1002/cl2.1371</w:t>
      </w:r>
    </w:p>
    <w:p w14:paraId="4904EC9A"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Borenstein, M., Hedges, L. V., Higgins, J. P. T., &amp; Rothstein, H. R. (2009). </w:t>
      </w:r>
      <w:r w:rsidRPr="00032250">
        <w:rPr>
          <w:rFonts w:cs="Times New Roman"/>
          <w:i/>
          <w:iCs/>
          <w:noProof/>
          <w:szCs w:val="24"/>
        </w:rPr>
        <w:t>Introduction to meta-analysis</w:t>
      </w:r>
      <w:r w:rsidRPr="00032250">
        <w:rPr>
          <w:rFonts w:cs="Times New Roman"/>
          <w:noProof/>
          <w:szCs w:val="24"/>
        </w:rPr>
        <w:t xml:space="preserve"> (1st ed.). John Wiley &amp; Sons.</w:t>
      </w:r>
    </w:p>
    <w:p w14:paraId="5CF5AF7A"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032250">
        <w:rPr>
          <w:rFonts w:cs="Times New Roman"/>
          <w:i/>
          <w:iCs/>
          <w:noProof/>
          <w:szCs w:val="24"/>
        </w:rPr>
        <w:t>Humanities and Social Sciences Communications</w:t>
      </w:r>
      <w:r w:rsidRPr="00032250">
        <w:rPr>
          <w:rFonts w:cs="Times New Roman"/>
          <w:noProof/>
          <w:szCs w:val="24"/>
        </w:rPr>
        <w:t xml:space="preserve">, </w:t>
      </w:r>
      <w:r w:rsidRPr="00032250">
        <w:rPr>
          <w:rFonts w:cs="Times New Roman"/>
          <w:i/>
          <w:iCs/>
          <w:noProof/>
          <w:szCs w:val="24"/>
        </w:rPr>
        <w:t>8</w:t>
      </w:r>
      <w:r w:rsidRPr="00032250">
        <w:rPr>
          <w:rFonts w:cs="Times New Roman"/>
          <w:noProof/>
          <w:szCs w:val="24"/>
        </w:rPr>
        <w:t>(1), 1–15.</w:t>
      </w:r>
    </w:p>
    <w:p w14:paraId="5859CBDD"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Burgard, T., &amp; Bittermann, A. (2023). Reducing Literature Screening Workload With Machine Learning. </w:t>
      </w:r>
      <w:r w:rsidRPr="00032250">
        <w:rPr>
          <w:rFonts w:cs="Times New Roman"/>
          <w:i/>
          <w:iCs/>
          <w:noProof/>
          <w:szCs w:val="24"/>
        </w:rPr>
        <w:t>Zeitschrift Für Psychologie</w:t>
      </w:r>
      <w:r w:rsidRPr="00032250">
        <w:rPr>
          <w:rFonts w:cs="Times New Roman"/>
          <w:noProof/>
          <w:szCs w:val="24"/>
        </w:rPr>
        <w:t>.</w:t>
      </w:r>
    </w:p>
    <w:p w14:paraId="07EEB062"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Buscemi, N., Hartling, L., Vandermeer, B., Tjosvold, L., &amp; Klassen, T. P. (2006). Single data extraction generated more errors than double data extraction in systematic reviews. </w:t>
      </w:r>
      <w:r w:rsidRPr="00032250">
        <w:rPr>
          <w:rFonts w:cs="Times New Roman"/>
          <w:i/>
          <w:iCs/>
          <w:noProof/>
          <w:szCs w:val="24"/>
        </w:rPr>
        <w:t>Journal of Clinical Epidemiology</w:t>
      </w:r>
      <w:r w:rsidRPr="00032250">
        <w:rPr>
          <w:rFonts w:cs="Times New Roman"/>
          <w:noProof/>
          <w:szCs w:val="24"/>
        </w:rPr>
        <w:t xml:space="preserve">, </w:t>
      </w:r>
      <w:r w:rsidRPr="00032250">
        <w:rPr>
          <w:rFonts w:cs="Times New Roman"/>
          <w:i/>
          <w:iCs/>
          <w:noProof/>
          <w:szCs w:val="24"/>
        </w:rPr>
        <w:t>59</w:t>
      </w:r>
      <w:r w:rsidRPr="00032250">
        <w:rPr>
          <w:rFonts w:cs="Times New Roman"/>
          <w:noProof/>
          <w:szCs w:val="24"/>
        </w:rPr>
        <w:t>(7), 697–703.</w:t>
      </w:r>
    </w:p>
    <w:p w14:paraId="6AF163EF"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Campbell Collaboration. (2023). </w:t>
      </w:r>
      <w:r w:rsidRPr="00032250">
        <w:rPr>
          <w:rFonts w:cs="Times New Roman"/>
          <w:i/>
          <w:iCs/>
          <w:noProof/>
          <w:szCs w:val="24"/>
        </w:rPr>
        <w:t>Stepping up evidence synthesis: faster, cheaper and more useful</w:t>
      </w:r>
      <w:r w:rsidRPr="00032250">
        <w:rPr>
          <w:rFonts w:cs="Times New Roman"/>
          <w:noProof/>
          <w:szCs w:val="24"/>
        </w:rPr>
        <w:t xml:space="preserve">. </w:t>
      </w:r>
      <w:r w:rsidRPr="00032250">
        <w:rPr>
          <w:rFonts w:cs="Times New Roman"/>
          <w:noProof/>
          <w:szCs w:val="24"/>
        </w:rPr>
        <w:lastRenderedPageBreak/>
        <w:t>https://www.campbellcollaboration.org/news-and-events/news/stepping-up-evidence-synthesis.html</w:t>
      </w:r>
    </w:p>
    <w:p w14:paraId="4993BAD7"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Campos, D. G., Fütterer, T., Gfrörer, T., Lavelle-Hill, R. E., Murayama, K., König, L., Hecht, M., Zitzmann, S., &amp; Scherer, R. (2023). </w:t>
      </w:r>
      <w:r w:rsidRPr="00032250">
        <w:rPr>
          <w:rFonts w:cs="Times New Roman"/>
          <w:i/>
          <w:iCs/>
          <w:noProof/>
          <w:szCs w:val="24"/>
        </w:rPr>
        <w:t>Screening Smarter, Not Harder: A Comparative Analysis of Machine Learning Screening Algorithms and Heuristic Stopping Criteria for Systematic Reviews in Educational Research</w:t>
      </w:r>
      <w:r w:rsidRPr="00032250">
        <w:rPr>
          <w:rFonts w:cs="Times New Roman"/>
          <w:noProof/>
          <w:szCs w:val="24"/>
        </w:rPr>
        <w:t>.</w:t>
      </w:r>
    </w:p>
    <w:p w14:paraId="43739D0D"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Chicco, D., &amp; Jurman, G. (2023). The Matthews correlation coefficient (MCC) should replace the ROC AUC as the standard metric for assessing binary classification. </w:t>
      </w:r>
      <w:r w:rsidRPr="00032250">
        <w:rPr>
          <w:rFonts w:cs="Times New Roman"/>
          <w:i/>
          <w:iCs/>
          <w:noProof/>
          <w:szCs w:val="24"/>
        </w:rPr>
        <w:t>BioData Mining</w:t>
      </w:r>
      <w:r w:rsidRPr="00032250">
        <w:rPr>
          <w:rFonts w:cs="Times New Roman"/>
          <w:noProof/>
          <w:szCs w:val="24"/>
        </w:rPr>
        <w:t xml:space="preserve">, </w:t>
      </w:r>
      <w:r w:rsidRPr="00032250">
        <w:rPr>
          <w:rFonts w:cs="Times New Roman"/>
          <w:i/>
          <w:iCs/>
          <w:noProof/>
          <w:szCs w:val="24"/>
        </w:rPr>
        <w:t>16</w:t>
      </w:r>
      <w:r w:rsidRPr="00032250">
        <w:rPr>
          <w:rFonts w:cs="Times New Roman"/>
          <w:noProof/>
          <w:szCs w:val="24"/>
        </w:rPr>
        <w:t>(1), 1–23.</w:t>
      </w:r>
    </w:p>
    <w:p w14:paraId="455CD87C"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Cohen, A. M., Hersh, W. R., Peterson, K., &amp; Yen, P.-Y. (2006). Reducing workload in systematic review preparation using automated citation classification. </w:t>
      </w:r>
      <w:r w:rsidRPr="00032250">
        <w:rPr>
          <w:rFonts w:cs="Times New Roman"/>
          <w:i/>
          <w:iCs/>
          <w:noProof/>
          <w:szCs w:val="24"/>
        </w:rPr>
        <w:t>Journal of the American Medical Informatics Association</w:t>
      </w:r>
      <w:r w:rsidRPr="00032250">
        <w:rPr>
          <w:rFonts w:cs="Times New Roman"/>
          <w:noProof/>
          <w:szCs w:val="24"/>
        </w:rPr>
        <w:t xml:space="preserve">, </w:t>
      </w:r>
      <w:r w:rsidRPr="00032250">
        <w:rPr>
          <w:rFonts w:cs="Times New Roman"/>
          <w:i/>
          <w:iCs/>
          <w:noProof/>
          <w:szCs w:val="24"/>
        </w:rPr>
        <w:t>13</w:t>
      </w:r>
      <w:r w:rsidRPr="00032250">
        <w:rPr>
          <w:rFonts w:cs="Times New Roman"/>
          <w:noProof/>
          <w:szCs w:val="24"/>
        </w:rPr>
        <w:t>(2), 206–219.</w:t>
      </w:r>
    </w:p>
    <w:p w14:paraId="15E9E1F2"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18</w:t>
      </w:r>
      <w:r w:rsidRPr="00032250">
        <w:rPr>
          <w:rFonts w:cs="Times New Roman"/>
          <w:noProof/>
          <w:szCs w:val="24"/>
        </w:rPr>
        <w:t>(2), e1239. https://doi.org/https://doi.org/10.1002/cl2.1239</w:t>
      </w:r>
    </w:p>
    <w:p w14:paraId="488DACAC"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18</w:t>
      </w:r>
      <w:r w:rsidRPr="00032250">
        <w:rPr>
          <w:rFonts w:cs="Times New Roman"/>
          <w:noProof/>
          <w:szCs w:val="24"/>
        </w:rPr>
        <w:t>(4), e1291. https://doi.org/https://doi.org/10.1002/cl2.1291</w:t>
      </w:r>
    </w:p>
    <w:p w14:paraId="7E261F51"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18</w:t>
      </w:r>
      <w:r w:rsidRPr="00032250">
        <w:rPr>
          <w:rFonts w:cs="Times New Roman"/>
          <w:noProof/>
          <w:szCs w:val="24"/>
        </w:rPr>
        <w:t>(1), e1209. https://doi.org/https://doi.org/10.1002/cl2.1209</w:t>
      </w:r>
    </w:p>
    <w:p w14:paraId="178C68A7"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18</w:t>
      </w:r>
      <w:r w:rsidRPr="00032250">
        <w:rPr>
          <w:rFonts w:cs="Times New Roman"/>
          <w:noProof/>
          <w:szCs w:val="24"/>
        </w:rPr>
        <w:t>(3), e1254. https://doi.org/10.1002/cl2.1254</w:t>
      </w:r>
    </w:p>
    <w:p w14:paraId="00979CD3"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16</w:t>
      </w:r>
      <w:r w:rsidRPr="00032250">
        <w:rPr>
          <w:rFonts w:cs="Times New Roman"/>
          <w:noProof/>
          <w:szCs w:val="24"/>
        </w:rPr>
        <w:t>(2), e1081. https://doi.org/10.1002/cl2.1081</w:t>
      </w:r>
    </w:p>
    <w:p w14:paraId="5367E913"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17</w:t>
      </w:r>
      <w:r w:rsidRPr="00032250">
        <w:rPr>
          <w:rFonts w:cs="Times New Roman"/>
          <w:noProof/>
          <w:szCs w:val="24"/>
        </w:rPr>
        <w:t>(2), e1152. https://doi.org/10.1002/cl2.1152</w:t>
      </w:r>
    </w:p>
    <w:p w14:paraId="54654E00"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Doi, S. A., &amp; Xu, C. (2021). The Freeman–Tukey double arcsine transformation for the meta-analysis of proportions: Recent criticisms were seriously misleading. </w:t>
      </w:r>
      <w:r w:rsidRPr="00032250">
        <w:rPr>
          <w:rFonts w:cs="Times New Roman"/>
          <w:i/>
          <w:iCs/>
          <w:noProof/>
          <w:szCs w:val="24"/>
        </w:rPr>
        <w:t>Journal of Evidence-Based Medicine</w:t>
      </w:r>
      <w:r w:rsidRPr="00032250">
        <w:rPr>
          <w:rFonts w:cs="Times New Roman"/>
          <w:noProof/>
          <w:szCs w:val="24"/>
        </w:rPr>
        <w:t xml:space="preserve">, </w:t>
      </w:r>
      <w:r w:rsidRPr="00032250">
        <w:rPr>
          <w:rFonts w:cs="Times New Roman"/>
          <w:i/>
          <w:iCs/>
          <w:noProof/>
          <w:szCs w:val="24"/>
        </w:rPr>
        <w:t>14</w:t>
      </w:r>
      <w:r w:rsidRPr="00032250">
        <w:rPr>
          <w:rFonts w:cs="Times New Roman"/>
          <w:noProof/>
          <w:szCs w:val="24"/>
        </w:rPr>
        <w:t>(4), 259–261. https://doi.org/https://doi.org/10.1111/jebm.12445</w:t>
      </w:r>
    </w:p>
    <w:p w14:paraId="4D6E41F9"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EPPI-Centre. (2024). </w:t>
      </w:r>
      <w:r w:rsidRPr="00032250">
        <w:rPr>
          <w:rFonts w:cs="Times New Roman"/>
          <w:i/>
          <w:iCs/>
          <w:noProof/>
          <w:szCs w:val="24"/>
        </w:rPr>
        <w:t>Automated data extraction using GPT-4</w:t>
      </w:r>
      <w:r w:rsidRPr="00032250">
        <w:rPr>
          <w:rFonts w:cs="Times New Roman"/>
          <w:noProof/>
          <w:szCs w:val="24"/>
        </w:rPr>
        <w:t>. https://eppi.ioe.ac.uk/cms/Default.aspx?tabid=3921</w:t>
      </w:r>
    </w:p>
    <w:p w14:paraId="19E5BD7C"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Evensen, L. H., Kleven, L., Dahm, K. T., Hafstad, E. V., Holte, H. H., Robberstad, B., &amp; Risstad, H. (2023). </w:t>
      </w:r>
      <w:r w:rsidRPr="00032250">
        <w:rPr>
          <w:rFonts w:cs="Times New Roman"/>
          <w:i/>
          <w:iCs/>
          <w:noProof/>
          <w:szCs w:val="24"/>
        </w:rPr>
        <w:t>Sutur av degenerative rotatorcuff-rupturer: en fullstendig metodevurdering [Rotator cuff repair for degenerative rotator cuff tears: a health technology assessment].</w:t>
      </w:r>
      <w:r w:rsidRPr="00032250">
        <w:rPr>
          <w:rFonts w:cs="Times New Roman"/>
          <w:noProof/>
          <w:szCs w:val="24"/>
        </w:rPr>
        <w:t xml:space="preserve"> https://www.fhi.no/publ/2023/sutur-av-degenerative-rotatorcuff-rupturer/</w:t>
      </w:r>
    </w:p>
    <w:p w14:paraId="1DA2F13A"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18</w:t>
      </w:r>
      <w:r w:rsidRPr="00032250">
        <w:rPr>
          <w:rFonts w:cs="Times New Roman"/>
          <w:noProof/>
          <w:szCs w:val="24"/>
        </w:rPr>
        <w:t>(4), e1282. https://doi.org/https://doi.org/10.1002/cl2.1282</w:t>
      </w:r>
    </w:p>
    <w:p w14:paraId="0F0CF3DF"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Filges, T., Dietrichson, J., Viinholt, B. C. A., &amp; Dalgaard, N. T. (2022). Service learning for improving academic success in students in grade K to 12: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18</w:t>
      </w:r>
      <w:r w:rsidRPr="00032250">
        <w:rPr>
          <w:rFonts w:cs="Times New Roman"/>
          <w:noProof/>
          <w:szCs w:val="24"/>
        </w:rPr>
        <w:t>(1), e1210. https://doi.org/https://doi.org/10.1002/cl2.1210</w:t>
      </w:r>
    </w:p>
    <w:p w14:paraId="7EF47585"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Filges, T., Montgomery, E., Kastrup, M., &amp; Jørgensen, A.-M. K. (2015). The Impact of Detention on the Health of Asylum Seekers: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11</w:t>
      </w:r>
      <w:r w:rsidRPr="00032250">
        <w:rPr>
          <w:rFonts w:cs="Times New Roman"/>
          <w:noProof/>
          <w:szCs w:val="24"/>
        </w:rPr>
        <w:t>(1), 1–104. https://doi.org/https://doi.org/10.4073/csr.2015.13</w:t>
      </w:r>
    </w:p>
    <w:p w14:paraId="034D6269"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Filges, T., Siren, A., Fridberg, T., &amp; Nielsen, B. C. V. (2020). Voluntary work for the physical and mental health of older volunteers: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16</w:t>
      </w:r>
      <w:r w:rsidRPr="00032250">
        <w:rPr>
          <w:rFonts w:cs="Times New Roman"/>
          <w:noProof/>
          <w:szCs w:val="24"/>
        </w:rPr>
        <w:t>(4), e1124. https://doi.org/https://doi.org/10.1002/cl2.1124</w:t>
      </w:r>
    </w:p>
    <w:p w14:paraId="4AC5099F"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Filges, T., Smedslund, G., Eriksen, T., &amp; Birkefoss, K. (2023). PROTOCOL: The FRIENDS preventive programme for reducing anxiety symptoms in children and adolescents: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19</w:t>
      </w:r>
      <w:r w:rsidRPr="00032250">
        <w:rPr>
          <w:rFonts w:cs="Times New Roman"/>
          <w:noProof/>
          <w:szCs w:val="24"/>
        </w:rPr>
        <w:t>(4), e1374. https://doi.org/https://doi.org/10.1002/cl2.1374</w:t>
      </w:r>
    </w:p>
    <w:p w14:paraId="040EEA71"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Filges, T., Sonne‐Schmidt, C. S., &amp; Nielsen, B. C. V. (2018). Small class sizes for improving student achievement in primary and secondary schools: A systematic review. </w:t>
      </w:r>
      <w:r w:rsidRPr="00032250">
        <w:rPr>
          <w:rFonts w:cs="Times New Roman"/>
          <w:i/>
          <w:iCs/>
          <w:noProof/>
          <w:szCs w:val="24"/>
        </w:rPr>
        <w:t xml:space="preserve">Campbell </w:t>
      </w:r>
      <w:r w:rsidRPr="00032250">
        <w:rPr>
          <w:rFonts w:cs="Times New Roman"/>
          <w:i/>
          <w:iCs/>
          <w:noProof/>
          <w:szCs w:val="24"/>
        </w:rPr>
        <w:lastRenderedPageBreak/>
        <w:t>Systematic Reviews</w:t>
      </w:r>
      <w:r w:rsidRPr="00032250">
        <w:rPr>
          <w:rFonts w:cs="Times New Roman"/>
          <w:noProof/>
          <w:szCs w:val="24"/>
        </w:rPr>
        <w:t xml:space="preserve">, </w:t>
      </w:r>
      <w:r w:rsidRPr="00032250">
        <w:rPr>
          <w:rFonts w:cs="Times New Roman"/>
          <w:i/>
          <w:iCs/>
          <w:noProof/>
          <w:szCs w:val="24"/>
        </w:rPr>
        <w:t>14</w:t>
      </w:r>
      <w:r w:rsidRPr="00032250">
        <w:rPr>
          <w:rFonts w:cs="Times New Roman"/>
          <w:noProof/>
          <w:szCs w:val="24"/>
        </w:rPr>
        <w:t>(1), 1–107. https://doi.org/10.4073/csr.2018.10</w:t>
      </w:r>
    </w:p>
    <w:p w14:paraId="4B4494B7"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15</w:t>
      </w:r>
      <w:r w:rsidRPr="00032250">
        <w:rPr>
          <w:rFonts w:cs="Times New Roman"/>
          <w:noProof/>
          <w:szCs w:val="24"/>
        </w:rPr>
        <w:t>(4), e1060. https://doi.org/https://doi.org/10.1002/cl2.1060</w:t>
      </w:r>
    </w:p>
    <w:p w14:paraId="210A1C01"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19</w:t>
      </w:r>
      <w:r w:rsidRPr="00032250">
        <w:rPr>
          <w:rFonts w:cs="Times New Roman"/>
          <w:noProof/>
          <w:szCs w:val="24"/>
        </w:rPr>
        <w:t>(2), e1321. https://doi.org/https://doi.org/10.1002/cl2.1321</w:t>
      </w:r>
    </w:p>
    <w:p w14:paraId="1BE11EF1"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Gargari, O. K., Mahmoudi, M. H., Hajisafarali, M., &amp; Samiee, R. (2024). Enhancing title and abstract screening for systematic reviews with GPT-3.5 turbo. </w:t>
      </w:r>
      <w:r w:rsidRPr="00032250">
        <w:rPr>
          <w:rFonts w:cs="Times New Roman"/>
          <w:i/>
          <w:iCs/>
          <w:noProof/>
          <w:szCs w:val="24"/>
        </w:rPr>
        <w:t>BMJ Evidence-Based Medicine</w:t>
      </w:r>
      <w:r w:rsidRPr="00032250">
        <w:rPr>
          <w:rFonts w:cs="Times New Roman"/>
          <w:noProof/>
          <w:szCs w:val="24"/>
        </w:rPr>
        <w:t xml:space="preserve">, </w:t>
      </w:r>
      <w:r w:rsidRPr="00032250">
        <w:rPr>
          <w:rFonts w:cs="Times New Roman"/>
          <w:i/>
          <w:iCs/>
          <w:noProof/>
          <w:szCs w:val="24"/>
        </w:rPr>
        <w:t>29</w:t>
      </w:r>
      <w:r w:rsidRPr="00032250">
        <w:rPr>
          <w:rFonts w:cs="Times New Roman"/>
          <w:noProof/>
          <w:szCs w:val="24"/>
        </w:rPr>
        <w:t>(1), 69 LP – 70. https://doi.org/10.1136/bmjebm-2023-112678</w:t>
      </w:r>
    </w:p>
    <w:p w14:paraId="266CCF74"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032250">
        <w:rPr>
          <w:rFonts w:cs="Times New Roman"/>
          <w:i/>
          <w:iCs/>
          <w:noProof/>
          <w:szCs w:val="24"/>
        </w:rPr>
        <w:t>Systematic Reviews</w:t>
      </w:r>
      <w:r w:rsidRPr="00032250">
        <w:rPr>
          <w:rFonts w:cs="Times New Roman"/>
          <w:noProof/>
          <w:szCs w:val="24"/>
        </w:rPr>
        <w:t xml:space="preserve">, </w:t>
      </w:r>
      <w:r w:rsidRPr="00032250">
        <w:rPr>
          <w:rFonts w:cs="Times New Roman"/>
          <w:i/>
          <w:iCs/>
          <w:noProof/>
          <w:szCs w:val="24"/>
        </w:rPr>
        <w:t>8</w:t>
      </w:r>
      <w:r w:rsidRPr="00032250">
        <w:rPr>
          <w:rFonts w:cs="Times New Roman"/>
          <w:noProof/>
          <w:szCs w:val="24"/>
        </w:rPr>
        <w:t>(1), 277. https://doi.org/10.1186/s13643-019-1221-3</w:t>
      </w:r>
    </w:p>
    <w:p w14:paraId="375F6F0E"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Gough, D., Oliver, S., &amp; Thomas, J. (2017). </w:t>
      </w:r>
      <w:r w:rsidRPr="00032250">
        <w:rPr>
          <w:rFonts w:cs="Times New Roman"/>
          <w:i/>
          <w:iCs/>
          <w:noProof/>
          <w:szCs w:val="24"/>
        </w:rPr>
        <w:t>An introduction to systematic reviews</w:t>
      </w:r>
      <w:r w:rsidRPr="00032250">
        <w:rPr>
          <w:rFonts w:cs="Times New Roman"/>
          <w:noProof/>
          <w:szCs w:val="24"/>
        </w:rPr>
        <w:t xml:space="preserve"> (2nd ed.). Sage.</w:t>
      </w:r>
    </w:p>
    <w:p w14:paraId="633444B9"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Guo, E., Gupta, M., Deng, J., Park, Y.-J., Paget, M., &amp; Naugler, C. (2024). Automated Paper Screening for Clinical Reviews Using Large Language Models: Data Analysis Study. </w:t>
      </w:r>
      <w:r w:rsidRPr="00032250">
        <w:rPr>
          <w:rFonts w:cs="Times New Roman"/>
          <w:i/>
          <w:iCs/>
          <w:noProof/>
          <w:szCs w:val="24"/>
        </w:rPr>
        <w:t>J Med Internet Res</w:t>
      </w:r>
      <w:r w:rsidRPr="00032250">
        <w:rPr>
          <w:rFonts w:cs="Times New Roman"/>
          <w:noProof/>
          <w:szCs w:val="24"/>
        </w:rPr>
        <w:t xml:space="preserve">, </w:t>
      </w:r>
      <w:r w:rsidRPr="00032250">
        <w:rPr>
          <w:rFonts w:cs="Times New Roman"/>
          <w:i/>
          <w:iCs/>
          <w:noProof/>
          <w:szCs w:val="24"/>
        </w:rPr>
        <w:t>26</w:t>
      </w:r>
      <w:r w:rsidRPr="00032250">
        <w:rPr>
          <w:rFonts w:cs="Times New Roman"/>
          <w:noProof/>
          <w:szCs w:val="24"/>
        </w:rPr>
        <w:t>, e48996. https://doi.org/10.2196/48996</w:t>
      </w:r>
    </w:p>
    <w:p w14:paraId="673D68D6"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Hedges, L. V. (1992). Modeling Publication Selection Effects in Meta-Analysis. </w:t>
      </w:r>
      <w:r w:rsidRPr="00032250">
        <w:rPr>
          <w:rFonts w:cs="Times New Roman"/>
          <w:i/>
          <w:iCs/>
          <w:noProof/>
          <w:szCs w:val="24"/>
        </w:rPr>
        <w:t>Statistical Science</w:t>
      </w:r>
      <w:r w:rsidRPr="00032250">
        <w:rPr>
          <w:rFonts w:cs="Times New Roman"/>
          <w:noProof/>
          <w:szCs w:val="24"/>
        </w:rPr>
        <w:t xml:space="preserve">, </w:t>
      </w:r>
      <w:r w:rsidRPr="00032250">
        <w:rPr>
          <w:rFonts w:cs="Times New Roman"/>
          <w:i/>
          <w:iCs/>
          <w:noProof/>
          <w:szCs w:val="24"/>
        </w:rPr>
        <w:t>7</w:t>
      </w:r>
      <w:r w:rsidRPr="00032250">
        <w:rPr>
          <w:rFonts w:cs="Times New Roman"/>
          <w:noProof/>
          <w:szCs w:val="24"/>
        </w:rPr>
        <w:t>(2), 246–255. http://www.jstor.org/stable/2246311</w:t>
      </w:r>
    </w:p>
    <w:p w14:paraId="39EBCEB5"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Higgins, J. P. T., Thomas, J., Chandler, J., Cumpston, M. S., Li, T., Page, M., &amp; Welch, V. (2019). </w:t>
      </w:r>
      <w:r w:rsidRPr="00032250">
        <w:rPr>
          <w:rFonts w:cs="Times New Roman"/>
          <w:i/>
          <w:iCs/>
          <w:noProof/>
          <w:szCs w:val="24"/>
        </w:rPr>
        <w:t>Cochrane handbook for systematic reviews of interventions</w:t>
      </w:r>
      <w:r w:rsidRPr="00032250">
        <w:rPr>
          <w:rFonts w:cs="Times New Roman"/>
          <w:noProof/>
          <w:szCs w:val="24"/>
        </w:rPr>
        <w:t xml:space="preserve"> (2nd ed.). Wiley Online Library. https://doi.org/10.1002/9781119536604</w:t>
      </w:r>
    </w:p>
    <w:p w14:paraId="2665BDFD"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Hou, Z., &amp; Tipton, E. (2024). Enhancing recall in automated record screening: A resampling algorithm. </w:t>
      </w:r>
      <w:r w:rsidRPr="00032250">
        <w:rPr>
          <w:rFonts w:cs="Times New Roman"/>
          <w:i/>
          <w:iCs/>
          <w:noProof/>
          <w:szCs w:val="24"/>
        </w:rPr>
        <w:t>Research Synthesis Methods</w:t>
      </w:r>
      <w:r w:rsidRPr="00032250">
        <w:rPr>
          <w:rFonts w:cs="Times New Roman"/>
          <w:noProof/>
          <w:szCs w:val="24"/>
        </w:rPr>
        <w:t xml:space="preserve">, </w:t>
      </w:r>
      <w:r w:rsidRPr="00032250">
        <w:rPr>
          <w:rFonts w:cs="Times New Roman"/>
          <w:i/>
          <w:iCs/>
          <w:noProof/>
          <w:szCs w:val="24"/>
        </w:rPr>
        <w:t>n/a</w:t>
      </w:r>
      <w:r w:rsidRPr="00032250">
        <w:rPr>
          <w:rFonts w:cs="Times New Roman"/>
          <w:noProof/>
          <w:szCs w:val="24"/>
        </w:rPr>
        <w:t>(n/a). https://doi.org/https://doi.org/10.1002/jrsm.1690</w:t>
      </w:r>
    </w:p>
    <w:p w14:paraId="28364A49"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032250">
        <w:rPr>
          <w:rFonts w:cs="Times New Roman"/>
          <w:i/>
          <w:iCs/>
          <w:noProof/>
          <w:szCs w:val="24"/>
        </w:rPr>
        <w:t>BMC Medical Research Methodology</w:t>
      </w:r>
      <w:r w:rsidRPr="00032250">
        <w:rPr>
          <w:rFonts w:cs="Times New Roman"/>
          <w:noProof/>
          <w:szCs w:val="24"/>
        </w:rPr>
        <w:t xml:space="preserve">, </w:t>
      </w:r>
      <w:r w:rsidRPr="00032250">
        <w:rPr>
          <w:rFonts w:cs="Times New Roman"/>
          <w:i/>
          <w:iCs/>
          <w:noProof/>
          <w:szCs w:val="24"/>
        </w:rPr>
        <w:t>24</w:t>
      </w:r>
      <w:r w:rsidRPr="00032250">
        <w:rPr>
          <w:rFonts w:cs="Times New Roman"/>
          <w:noProof/>
          <w:szCs w:val="24"/>
        </w:rPr>
        <w:t>(1), 78. https://doi.org/10.1186/s12874-024-02203-8</w:t>
      </w:r>
    </w:p>
    <w:p w14:paraId="45CC8EE9"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lastRenderedPageBreak/>
        <w:t xml:space="preserve">Jardim, P. S. J., Borge, T. C., &amp; Johansen, T. B. (2021). </w:t>
      </w:r>
      <w:r w:rsidRPr="00032250">
        <w:rPr>
          <w:rFonts w:cs="Times New Roman"/>
          <w:i/>
          <w:iCs/>
          <w:noProof/>
          <w:szCs w:val="24"/>
        </w:rPr>
        <w:t>Effekten av antipsykotika ved førstegangspsykose: en systematisk oversikt [The effect of antipsychotics on first episode psychosis]</w:t>
      </w:r>
      <w:r w:rsidRPr="00032250">
        <w:rPr>
          <w:rFonts w:cs="Times New Roman"/>
          <w:noProof/>
          <w:szCs w:val="24"/>
        </w:rPr>
        <w:t>. https://fhi.no/publ/2021/effekten-av-antipsykotika-ved-forstegangspsykose/</w:t>
      </w:r>
    </w:p>
    <w:p w14:paraId="539369EB"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Johansen, T. B., Nøkleby, H., Langøien, L. J., &amp; Borge, T. C. (2022). </w:t>
      </w:r>
      <w:r w:rsidRPr="00032250">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032250">
        <w:rPr>
          <w:rFonts w:cs="Times New Roman"/>
          <w:noProof/>
          <w:szCs w:val="24"/>
        </w:rPr>
        <w:t>. https://www.fhi.no/publ/2022/samvars--og-bostedsordninger-etter-samlivsbrudd-betydninger-for-barn-og-ung/</w:t>
      </w:r>
    </w:p>
    <w:p w14:paraId="59533E14"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Jonnalagadda, S. R., Goyal, P., &amp; Huffman, M. D. (2015). Automating data extraction in systematic reviews: a systematic review. </w:t>
      </w:r>
      <w:r w:rsidRPr="00032250">
        <w:rPr>
          <w:rFonts w:cs="Times New Roman"/>
          <w:i/>
          <w:iCs/>
          <w:noProof/>
          <w:szCs w:val="24"/>
        </w:rPr>
        <w:t>Systematic Reviews</w:t>
      </w:r>
      <w:r w:rsidRPr="00032250">
        <w:rPr>
          <w:rFonts w:cs="Times New Roman"/>
          <w:noProof/>
          <w:szCs w:val="24"/>
        </w:rPr>
        <w:t xml:space="preserve">, </w:t>
      </w:r>
      <w:r w:rsidRPr="00032250">
        <w:rPr>
          <w:rFonts w:cs="Times New Roman"/>
          <w:i/>
          <w:iCs/>
          <w:noProof/>
          <w:szCs w:val="24"/>
        </w:rPr>
        <w:t>4</w:t>
      </w:r>
      <w:r w:rsidRPr="00032250">
        <w:rPr>
          <w:rFonts w:cs="Times New Roman"/>
          <w:noProof/>
          <w:szCs w:val="24"/>
        </w:rPr>
        <w:t>(1), 78. https://doi.org/10.1186/s13643-015-0066-7</w:t>
      </w:r>
    </w:p>
    <w:p w14:paraId="698159B5"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032250">
        <w:rPr>
          <w:rFonts w:cs="Times New Roman"/>
          <w:i/>
          <w:iCs/>
          <w:noProof/>
          <w:szCs w:val="24"/>
        </w:rPr>
        <w:t>Research Synthesis Methods</w:t>
      </w:r>
      <w:r w:rsidRPr="00032250">
        <w:rPr>
          <w:rFonts w:cs="Times New Roman"/>
          <w:noProof/>
          <w:szCs w:val="24"/>
        </w:rPr>
        <w:t xml:space="preserve">, </w:t>
      </w:r>
      <w:r w:rsidRPr="00032250">
        <w:rPr>
          <w:rFonts w:cs="Times New Roman"/>
          <w:i/>
          <w:iCs/>
          <w:noProof/>
          <w:szCs w:val="24"/>
        </w:rPr>
        <w:t>n/a</w:t>
      </w:r>
      <w:r w:rsidRPr="00032250">
        <w:rPr>
          <w:rFonts w:cs="Times New Roman"/>
          <w:noProof/>
          <w:szCs w:val="24"/>
        </w:rPr>
        <w:t>(n/a). https://doi.org/https://doi.org/10.1002/jrsm.1715</w:t>
      </w:r>
    </w:p>
    <w:p w14:paraId="225B69CB"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König, L., Zitzmann, S., Fütterer, T., Campos, D. G., Scherer, R., &amp; Hecht, M. (2023). </w:t>
      </w:r>
      <w:r w:rsidRPr="00032250">
        <w:rPr>
          <w:rFonts w:cs="Times New Roman"/>
          <w:i/>
          <w:iCs/>
          <w:noProof/>
          <w:szCs w:val="24"/>
        </w:rPr>
        <w:t>When to stop and what to expect—An Evaluation of the performance of stopping rules in AI-assisted reviewing for psychological meta-analytical research</w:t>
      </w:r>
      <w:r w:rsidRPr="00032250">
        <w:rPr>
          <w:rFonts w:cs="Times New Roman"/>
          <w:noProof/>
          <w:szCs w:val="24"/>
        </w:rPr>
        <w:t>.</w:t>
      </w:r>
    </w:p>
    <w:p w14:paraId="27F65FF2"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Meneses Echavez, J. F., Borge, T. C., Nygård, H. T., Gaustad, J.-V., &amp; Hval, G. (2022). </w:t>
      </w:r>
      <w:r w:rsidRPr="00032250">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032250">
        <w:rPr>
          <w:rFonts w:cs="Times New Roman"/>
          <w:noProof/>
          <w:szCs w:val="24"/>
        </w:rPr>
        <w:t>. https://www.fhi.no/publ/2022/psykologisk-debriefing-for-helsepersonell-involvert-i-uonskede-pasienthende/</w:t>
      </w:r>
    </w:p>
    <w:p w14:paraId="31CBA088"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032250">
        <w:rPr>
          <w:rFonts w:cs="Times New Roman"/>
          <w:i/>
          <w:iCs/>
          <w:noProof/>
          <w:szCs w:val="24"/>
        </w:rPr>
        <w:t>Systematic Reviews</w:t>
      </w:r>
      <w:r w:rsidRPr="00032250">
        <w:rPr>
          <w:rFonts w:cs="Times New Roman"/>
          <w:noProof/>
          <w:szCs w:val="24"/>
        </w:rPr>
        <w:t xml:space="preserve">, </w:t>
      </w:r>
      <w:r w:rsidRPr="00032250">
        <w:rPr>
          <w:rFonts w:cs="Times New Roman"/>
          <w:i/>
          <w:iCs/>
          <w:noProof/>
          <w:szCs w:val="24"/>
        </w:rPr>
        <w:t>3</w:t>
      </w:r>
      <w:r w:rsidRPr="00032250">
        <w:rPr>
          <w:rFonts w:cs="Times New Roman"/>
          <w:noProof/>
          <w:szCs w:val="24"/>
        </w:rPr>
        <w:t>, 1–8.</w:t>
      </w:r>
    </w:p>
    <w:p w14:paraId="6BDA3E2C"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O’Connor, A. M., Tsafnat, G., Thomas, J., Glasziou, P., Gilbert, S. B., &amp; Hutton, B. (2019). A question of trust: can we build an evidence base to gain trust in systematic review automation technologies? </w:t>
      </w:r>
      <w:r w:rsidRPr="00032250">
        <w:rPr>
          <w:rFonts w:cs="Times New Roman"/>
          <w:i/>
          <w:iCs/>
          <w:noProof/>
          <w:szCs w:val="24"/>
        </w:rPr>
        <w:t>Systematic Reviews</w:t>
      </w:r>
      <w:r w:rsidRPr="00032250">
        <w:rPr>
          <w:rFonts w:cs="Times New Roman"/>
          <w:noProof/>
          <w:szCs w:val="24"/>
        </w:rPr>
        <w:t xml:space="preserve">, </w:t>
      </w:r>
      <w:r w:rsidRPr="00032250">
        <w:rPr>
          <w:rFonts w:cs="Times New Roman"/>
          <w:i/>
          <w:iCs/>
          <w:noProof/>
          <w:szCs w:val="24"/>
        </w:rPr>
        <w:t>8</w:t>
      </w:r>
      <w:r w:rsidRPr="00032250">
        <w:rPr>
          <w:rFonts w:cs="Times New Roman"/>
          <w:noProof/>
          <w:szCs w:val="24"/>
        </w:rPr>
        <w:t>(1), 1–8.</w:t>
      </w:r>
    </w:p>
    <w:p w14:paraId="2E9003BD"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O’Mara-Eves, A., Thomas, J., McNaught, J., Miwa, M., &amp; Ananiadou, S. (2015). Using text mining for study identification in systematic reviews: a systematic review of current approaches. </w:t>
      </w:r>
      <w:r w:rsidRPr="00032250">
        <w:rPr>
          <w:rFonts w:cs="Times New Roman"/>
          <w:i/>
          <w:iCs/>
          <w:noProof/>
          <w:szCs w:val="24"/>
        </w:rPr>
        <w:t>Systematic Reviews</w:t>
      </w:r>
      <w:r w:rsidRPr="00032250">
        <w:rPr>
          <w:rFonts w:cs="Times New Roman"/>
          <w:noProof/>
          <w:szCs w:val="24"/>
        </w:rPr>
        <w:t xml:space="preserve">, </w:t>
      </w:r>
      <w:r w:rsidRPr="00032250">
        <w:rPr>
          <w:rFonts w:cs="Times New Roman"/>
          <w:i/>
          <w:iCs/>
          <w:noProof/>
          <w:szCs w:val="24"/>
        </w:rPr>
        <w:t>4</w:t>
      </w:r>
      <w:r w:rsidRPr="00032250">
        <w:rPr>
          <w:rFonts w:cs="Times New Roman"/>
          <w:noProof/>
          <w:szCs w:val="24"/>
        </w:rPr>
        <w:t>(1), 1–22.</w:t>
      </w:r>
    </w:p>
    <w:p w14:paraId="65EC36E9"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lastRenderedPageBreak/>
        <w:t xml:space="preserve">Olofsson, H., Brolund, A., Hellberg, C., Silverstein, R., Stenström, K., Österberg, M., &amp; Dagerhamn, J. (2017). Can abstract screening workload be reduced using text mining? User experiences of the tool Rayyan. </w:t>
      </w:r>
      <w:r w:rsidRPr="00032250">
        <w:rPr>
          <w:rFonts w:cs="Times New Roman"/>
          <w:i/>
          <w:iCs/>
          <w:noProof/>
          <w:szCs w:val="24"/>
        </w:rPr>
        <w:t>Research Synthesis Methods</w:t>
      </w:r>
      <w:r w:rsidRPr="00032250">
        <w:rPr>
          <w:rFonts w:cs="Times New Roman"/>
          <w:noProof/>
          <w:szCs w:val="24"/>
        </w:rPr>
        <w:t xml:space="preserve">, </w:t>
      </w:r>
      <w:r w:rsidRPr="00032250">
        <w:rPr>
          <w:rFonts w:cs="Times New Roman"/>
          <w:i/>
          <w:iCs/>
          <w:noProof/>
          <w:szCs w:val="24"/>
        </w:rPr>
        <w:t>8</w:t>
      </w:r>
      <w:r w:rsidRPr="00032250">
        <w:rPr>
          <w:rFonts w:cs="Times New Roman"/>
          <w:noProof/>
          <w:szCs w:val="24"/>
        </w:rPr>
        <w:t>(3), 275–280.</w:t>
      </w:r>
    </w:p>
    <w:p w14:paraId="32036CE6"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Olorisade, B. K., Brereton, P., &amp; Andras, P. (2017). Reproducibility of studies on text mining for citation screening in systematic reviews: Evaluation and checklist. </w:t>
      </w:r>
      <w:r w:rsidRPr="00032250">
        <w:rPr>
          <w:rFonts w:cs="Times New Roman"/>
          <w:i/>
          <w:iCs/>
          <w:noProof/>
          <w:szCs w:val="24"/>
        </w:rPr>
        <w:t>Journal of Biomedical Informatics</w:t>
      </w:r>
      <w:r w:rsidRPr="00032250">
        <w:rPr>
          <w:rFonts w:cs="Times New Roman"/>
          <w:noProof/>
          <w:szCs w:val="24"/>
        </w:rPr>
        <w:t xml:space="preserve">, </w:t>
      </w:r>
      <w:r w:rsidRPr="00032250">
        <w:rPr>
          <w:rFonts w:cs="Times New Roman"/>
          <w:i/>
          <w:iCs/>
          <w:noProof/>
          <w:szCs w:val="24"/>
        </w:rPr>
        <w:t>73</w:t>
      </w:r>
      <w:r w:rsidRPr="00032250">
        <w:rPr>
          <w:rFonts w:cs="Times New Roman"/>
          <w:noProof/>
          <w:szCs w:val="24"/>
        </w:rPr>
        <w:t>, 1–13. https://doi.org/https://doi.org/10.1016/j.jbi.2017.07.010</w:t>
      </w:r>
    </w:p>
    <w:p w14:paraId="48758EBE"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Olorisade, B. K., de Quincey, E., Brereton, P., &amp; Andras, P. (2016). A critical analysis of studies that address the use of text mining for citation screening in systematic reviews. </w:t>
      </w:r>
      <w:r w:rsidRPr="00032250">
        <w:rPr>
          <w:rFonts w:cs="Times New Roman"/>
          <w:i/>
          <w:iCs/>
          <w:noProof/>
          <w:szCs w:val="24"/>
        </w:rPr>
        <w:t>Proceedings of the 20th International Conference on Evaluation and Assessment in Software Engineering</w:t>
      </w:r>
      <w:r w:rsidRPr="00032250">
        <w:rPr>
          <w:rFonts w:cs="Times New Roman"/>
          <w:noProof/>
          <w:szCs w:val="24"/>
        </w:rPr>
        <w:t>, 1–11.</w:t>
      </w:r>
    </w:p>
    <w:p w14:paraId="60F1EB09"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OpenAI. (2024). </w:t>
      </w:r>
      <w:r w:rsidRPr="00032250">
        <w:rPr>
          <w:rFonts w:cs="Times New Roman"/>
          <w:i/>
          <w:iCs/>
          <w:noProof/>
          <w:szCs w:val="24"/>
        </w:rPr>
        <w:t>Function calling</w:t>
      </w:r>
      <w:r w:rsidRPr="00032250">
        <w:rPr>
          <w:rFonts w:cs="Times New Roman"/>
          <w:noProof/>
          <w:szCs w:val="24"/>
        </w:rPr>
        <w:t>. https://platform.openai.com/docs/guides/function-calling</w:t>
      </w:r>
    </w:p>
    <w:p w14:paraId="3BD29435"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Perlman‐Arrow, S., Loo, N., Bobrovitz, N., Yan, T., &amp; Arora, R. K. (2023). A real‐world evaluation of the implementation of NLP technology in abstract screening of a systematic review. </w:t>
      </w:r>
      <w:r w:rsidRPr="00032250">
        <w:rPr>
          <w:rFonts w:cs="Times New Roman"/>
          <w:i/>
          <w:iCs/>
          <w:noProof/>
          <w:szCs w:val="24"/>
        </w:rPr>
        <w:t>Research Synthesis Methods</w:t>
      </w:r>
      <w:r w:rsidRPr="00032250">
        <w:rPr>
          <w:rFonts w:cs="Times New Roman"/>
          <w:noProof/>
          <w:szCs w:val="24"/>
        </w:rPr>
        <w:t xml:space="preserve">, </w:t>
      </w:r>
      <w:r w:rsidRPr="00032250">
        <w:rPr>
          <w:rFonts w:cs="Times New Roman"/>
          <w:i/>
          <w:iCs/>
          <w:noProof/>
          <w:szCs w:val="24"/>
        </w:rPr>
        <w:t>14</w:t>
      </w:r>
      <w:r w:rsidRPr="00032250">
        <w:rPr>
          <w:rFonts w:cs="Times New Roman"/>
          <w:noProof/>
          <w:szCs w:val="24"/>
        </w:rPr>
        <w:t>(4), 608–621.</w:t>
      </w:r>
    </w:p>
    <w:p w14:paraId="188C8A3A"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Polanin, J. R., Pigott, T. D., Espelage, D. L., &amp; Grotpeter, J. K. (2019). Best practice guidelines for abstract screening large-evidence systematic reviews and meta-analyses. </w:t>
      </w:r>
      <w:r w:rsidRPr="00032250">
        <w:rPr>
          <w:rFonts w:cs="Times New Roman"/>
          <w:i/>
          <w:iCs/>
          <w:noProof/>
          <w:szCs w:val="24"/>
        </w:rPr>
        <w:t>Research Synthesis Methods</w:t>
      </w:r>
      <w:r w:rsidRPr="00032250">
        <w:rPr>
          <w:rFonts w:cs="Times New Roman"/>
          <w:noProof/>
          <w:szCs w:val="24"/>
        </w:rPr>
        <w:t xml:space="preserve">, </w:t>
      </w:r>
      <w:r w:rsidRPr="00032250">
        <w:rPr>
          <w:rFonts w:cs="Times New Roman"/>
          <w:i/>
          <w:iCs/>
          <w:noProof/>
          <w:szCs w:val="24"/>
        </w:rPr>
        <w:t>10</w:t>
      </w:r>
      <w:r w:rsidRPr="00032250">
        <w:rPr>
          <w:rFonts w:cs="Times New Roman"/>
          <w:noProof/>
          <w:szCs w:val="24"/>
        </w:rPr>
        <w:t>(3), 330–342. https://doi.org/https://doi.org/10.1002/jrsm.1354</w:t>
      </w:r>
    </w:p>
    <w:p w14:paraId="629F85CC"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Pustejovsky, J. E., &amp; Tipton, E. (2021). Meta-analysis with robust variance estimation: Expanding the range of working models. </w:t>
      </w:r>
      <w:r w:rsidRPr="00032250">
        <w:rPr>
          <w:rFonts w:cs="Times New Roman"/>
          <w:i/>
          <w:iCs/>
          <w:noProof/>
          <w:szCs w:val="24"/>
        </w:rPr>
        <w:t>Prevention Science</w:t>
      </w:r>
      <w:r w:rsidRPr="00032250">
        <w:rPr>
          <w:rFonts w:cs="Times New Roman"/>
          <w:noProof/>
          <w:szCs w:val="24"/>
        </w:rPr>
        <w:t xml:space="preserve">, </w:t>
      </w:r>
      <w:r w:rsidRPr="00032250">
        <w:rPr>
          <w:rFonts w:cs="Times New Roman"/>
          <w:i/>
          <w:iCs/>
          <w:noProof/>
          <w:szCs w:val="24"/>
        </w:rPr>
        <w:t>23</w:t>
      </w:r>
      <w:r w:rsidRPr="00032250">
        <w:rPr>
          <w:rFonts w:cs="Times New Roman"/>
          <w:noProof/>
          <w:szCs w:val="24"/>
        </w:rPr>
        <w:t>(1), 425–438. https://doi.org/10.1007/s11121-021-01246-3</w:t>
      </w:r>
    </w:p>
    <w:p w14:paraId="1CDCBBD4"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Rathbone, J., Hoffmann, T., &amp; Glasziou, P. (2015). Faster title and abstract screening? Evaluating Abstrackr, a semi-automated online screening program for systematic reviewers. </w:t>
      </w:r>
      <w:r w:rsidRPr="00032250">
        <w:rPr>
          <w:rFonts w:cs="Times New Roman"/>
          <w:i/>
          <w:iCs/>
          <w:noProof/>
          <w:szCs w:val="24"/>
        </w:rPr>
        <w:t>Systematic Reviews</w:t>
      </w:r>
      <w:r w:rsidRPr="00032250">
        <w:rPr>
          <w:rFonts w:cs="Times New Roman"/>
          <w:noProof/>
          <w:szCs w:val="24"/>
        </w:rPr>
        <w:t xml:space="preserve">, </w:t>
      </w:r>
      <w:r w:rsidRPr="00032250">
        <w:rPr>
          <w:rFonts w:cs="Times New Roman"/>
          <w:i/>
          <w:iCs/>
          <w:noProof/>
          <w:szCs w:val="24"/>
        </w:rPr>
        <w:t>4</w:t>
      </w:r>
      <w:r w:rsidRPr="00032250">
        <w:rPr>
          <w:rFonts w:cs="Times New Roman"/>
          <w:noProof/>
          <w:szCs w:val="24"/>
        </w:rPr>
        <w:t>(1), 1–7.</w:t>
      </w:r>
    </w:p>
    <w:p w14:paraId="5B1E69E3"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Rothstein, H. R., Sutton, A. J., &amp; Borenstein, M. (2005). Publication bias in meta-analysis. In H. R. Rothstein, A. J. Sutton, &amp; M. Borenstein (Eds.), </w:t>
      </w:r>
      <w:r w:rsidRPr="00032250">
        <w:rPr>
          <w:rFonts w:cs="Times New Roman"/>
          <w:i/>
          <w:iCs/>
          <w:noProof/>
          <w:szCs w:val="24"/>
        </w:rPr>
        <w:t>Publication bias in meta-analysis: Prevention, assessment and adjustments</w:t>
      </w:r>
      <w:r w:rsidRPr="00032250">
        <w:rPr>
          <w:rFonts w:cs="Times New Roman"/>
          <w:noProof/>
          <w:szCs w:val="24"/>
        </w:rPr>
        <w:t>. Wiley Online Library.</w:t>
      </w:r>
    </w:p>
    <w:p w14:paraId="38D11A4F"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Röver, C., &amp; Friede, T. (2022). Double arcsine transform not appropriate for meta-analysis. </w:t>
      </w:r>
      <w:r w:rsidRPr="00032250">
        <w:rPr>
          <w:rFonts w:cs="Times New Roman"/>
          <w:i/>
          <w:iCs/>
          <w:noProof/>
          <w:szCs w:val="24"/>
        </w:rPr>
        <w:t>Research Synthesis Methods</w:t>
      </w:r>
      <w:r w:rsidRPr="00032250">
        <w:rPr>
          <w:rFonts w:cs="Times New Roman"/>
          <w:noProof/>
          <w:szCs w:val="24"/>
        </w:rPr>
        <w:t xml:space="preserve">, </w:t>
      </w:r>
      <w:r w:rsidRPr="00032250">
        <w:rPr>
          <w:rFonts w:cs="Times New Roman"/>
          <w:i/>
          <w:iCs/>
          <w:noProof/>
          <w:szCs w:val="24"/>
        </w:rPr>
        <w:t>13</w:t>
      </w:r>
      <w:r w:rsidRPr="00032250">
        <w:rPr>
          <w:rFonts w:cs="Times New Roman"/>
          <w:noProof/>
          <w:szCs w:val="24"/>
        </w:rPr>
        <w:t>(5), 645–648. https://doi.org/https://doi.org/10.1002/jrsm.1591</w:t>
      </w:r>
    </w:p>
    <w:p w14:paraId="48EB114E"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032250">
        <w:rPr>
          <w:rFonts w:cs="Times New Roman"/>
          <w:i/>
          <w:iCs/>
          <w:noProof/>
          <w:szCs w:val="24"/>
        </w:rPr>
        <w:t>Research Synthesis Methods</w:t>
      </w:r>
      <w:r w:rsidRPr="00032250">
        <w:rPr>
          <w:rFonts w:cs="Times New Roman"/>
          <w:noProof/>
          <w:szCs w:val="24"/>
        </w:rPr>
        <w:t xml:space="preserve">, </w:t>
      </w:r>
      <w:r w:rsidRPr="00032250">
        <w:rPr>
          <w:rFonts w:cs="Times New Roman"/>
          <w:i/>
          <w:iCs/>
          <w:noProof/>
          <w:szCs w:val="24"/>
        </w:rPr>
        <w:t>10</w:t>
      </w:r>
      <w:r w:rsidRPr="00032250">
        <w:rPr>
          <w:rFonts w:cs="Times New Roman"/>
          <w:noProof/>
          <w:szCs w:val="24"/>
        </w:rPr>
        <w:t>(3), 476–483. https://doi.org/https://doi.org/10.1002/jrsm.1348</w:t>
      </w:r>
    </w:p>
    <w:p w14:paraId="7D03B78C"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lastRenderedPageBreak/>
        <w:t xml:space="preserve">Shadish, W. R., Cook, T. D., &amp; Campbell, D. T. (2002). </w:t>
      </w:r>
      <w:r w:rsidRPr="00032250">
        <w:rPr>
          <w:rFonts w:cs="Times New Roman"/>
          <w:i/>
          <w:iCs/>
          <w:noProof/>
          <w:szCs w:val="24"/>
        </w:rPr>
        <w:t>Experimental and Quasi-Experimental Designs for Generalized Causal Inference</w:t>
      </w:r>
      <w:r w:rsidRPr="00032250">
        <w:rPr>
          <w:rFonts w:cs="Times New Roman"/>
          <w:noProof/>
          <w:szCs w:val="24"/>
        </w:rPr>
        <w:t xml:space="preserve"> (2nd ed.). Cengage Learning, Inc.</w:t>
      </w:r>
    </w:p>
    <w:p w14:paraId="12A56A60"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Shemilt, I., Khan, N., Park, S., &amp; Thomas, J. (2016). Use of cost-effectiveness analysis to compare the efficiency of study identification methods in systematic reviews. </w:t>
      </w:r>
      <w:r w:rsidRPr="00032250">
        <w:rPr>
          <w:rFonts w:cs="Times New Roman"/>
          <w:i/>
          <w:iCs/>
          <w:noProof/>
          <w:szCs w:val="24"/>
        </w:rPr>
        <w:t>Systematic Reviews</w:t>
      </w:r>
      <w:r w:rsidRPr="00032250">
        <w:rPr>
          <w:rFonts w:cs="Times New Roman"/>
          <w:noProof/>
          <w:szCs w:val="24"/>
        </w:rPr>
        <w:t xml:space="preserve">, </w:t>
      </w:r>
      <w:r w:rsidRPr="00032250">
        <w:rPr>
          <w:rFonts w:cs="Times New Roman"/>
          <w:i/>
          <w:iCs/>
          <w:noProof/>
          <w:szCs w:val="24"/>
        </w:rPr>
        <w:t>5</w:t>
      </w:r>
      <w:r w:rsidRPr="00032250">
        <w:rPr>
          <w:rFonts w:cs="Times New Roman"/>
          <w:noProof/>
          <w:szCs w:val="24"/>
        </w:rPr>
        <w:t>, 1–13.</w:t>
      </w:r>
    </w:p>
    <w:p w14:paraId="6EEEA9BB"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032250">
        <w:rPr>
          <w:rFonts w:cs="Times New Roman"/>
          <w:i/>
          <w:iCs/>
          <w:noProof/>
          <w:szCs w:val="24"/>
        </w:rPr>
        <w:t>Research Synthesis Methods</w:t>
      </w:r>
      <w:r w:rsidRPr="00032250">
        <w:rPr>
          <w:rFonts w:cs="Times New Roman"/>
          <w:noProof/>
          <w:szCs w:val="24"/>
        </w:rPr>
        <w:t xml:space="preserve">, </w:t>
      </w:r>
      <w:r w:rsidRPr="00032250">
        <w:rPr>
          <w:rFonts w:cs="Times New Roman"/>
          <w:i/>
          <w:iCs/>
          <w:noProof/>
          <w:szCs w:val="24"/>
        </w:rPr>
        <w:t>5</w:t>
      </w:r>
      <w:r w:rsidRPr="00032250">
        <w:rPr>
          <w:rFonts w:cs="Times New Roman"/>
          <w:noProof/>
          <w:szCs w:val="24"/>
        </w:rPr>
        <w:t>(1), 31–49. https://doi.org/https://doi.org/10.1002/jrsm.1093</w:t>
      </w:r>
    </w:p>
    <w:p w14:paraId="54F2685D"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Stoll, C. R. T., Izadi, S., Fowler, S., Green, P., Suls, J., &amp; Colditz, G. A. (2019). The value of a second reviewer for study selection in systematic reviews. </w:t>
      </w:r>
      <w:r w:rsidRPr="00032250">
        <w:rPr>
          <w:rFonts w:cs="Times New Roman"/>
          <w:i/>
          <w:iCs/>
          <w:noProof/>
          <w:szCs w:val="24"/>
        </w:rPr>
        <w:t>Research Synthesis Methods</w:t>
      </w:r>
      <w:r w:rsidRPr="00032250">
        <w:rPr>
          <w:rFonts w:cs="Times New Roman"/>
          <w:noProof/>
          <w:szCs w:val="24"/>
        </w:rPr>
        <w:t xml:space="preserve">, </w:t>
      </w:r>
      <w:r w:rsidRPr="00032250">
        <w:rPr>
          <w:rFonts w:cs="Times New Roman"/>
          <w:i/>
          <w:iCs/>
          <w:noProof/>
          <w:szCs w:val="24"/>
        </w:rPr>
        <w:t>10</w:t>
      </w:r>
      <w:r w:rsidRPr="00032250">
        <w:rPr>
          <w:rFonts w:cs="Times New Roman"/>
          <w:noProof/>
          <w:szCs w:val="24"/>
        </w:rPr>
        <w:t>(4), 539–545. https://doi.org/10.1002/jrsm.1369</w:t>
      </w:r>
    </w:p>
    <w:p w14:paraId="729A9452"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Syriani, E., David, I., &amp; Kumar, G. (2023). Assessing the Ability of ChatGPT to Screen Articles for Systematic Reviews. </w:t>
      </w:r>
      <w:r w:rsidRPr="00032250">
        <w:rPr>
          <w:rFonts w:cs="Times New Roman"/>
          <w:i/>
          <w:iCs/>
          <w:noProof/>
          <w:szCs w:val="24"/>
        </w:rPr>
        <w:t>ArXiv Preprint ArXiv:2307.06464</w:t>
      </w:r>
      <w:r w:rsidRPr="00032250">
        <w:rPr>
          <w:rFonts w:cs="Times New Roman"/>
          <w:noProof/>
          <w:szCs w:val="24"/>
        </w:rPr>
        <w:t>.</w:t>
      </w:r>
    </w:p>
    <w:p w14:paraId="2F38F424"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Thomsen, M. K., Seerup, J. K., Dietrichson, J., Bondebjerg, A., &amp; Viinholt, B. C. A. (2022). PROTOCOL: Testing frequency and student achievement: A systematic review. </w:t>
      </w:r>
      <w:r w:rsidRPr="00032250">
        <w:rPr>
          <w:rFonts w:cs="Times New Roman"/>
          <w:i/>
          <w:iCs/>
          <w:noProof/>
          <w:szCs w:val="24"/>
        </w:rPr>
        <w:t>Campbell Systematic Reviews</w:t>
      </w:r>
      <w:r w:rsidRPr="00032250">
        <w:rPr>
          <w:rFonts w:cs="Times New Roman"/>
          <w:noProof/>
          <w:szCs w:val="24"/>
        </w:rPr>
        <w:t xml:space="preserve">, </w:t>
      </w:r>
      <w:r w:rsidRPr="00032250">
        <w:rPr>
          <w:rFonts w:cs="Times New Roman"/>
          <w:i/>
          <w:iCs/>
          <w:noProof/>
          <w:szCs w:val="24"/>
        </w:rPr>
        <w:t>18</w:t>
      </w:r>
      <w:r w:rsidRPr="00032250">
        <w:rPr>
          <w:rFonts w:cs="Times New Roman"/>
          <w:noProof/>
          <w:szCs w:val="24"/>
        </w:rPr>
        <w:t>(1), e1212. https://doi.org/https://doi.org/10.1002/cl2.1212</w:t>
      </w:r>
    </w:p>
    <w:p w14:paraId="36FAE7B7"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Tipton, E., &amp; Pustejovsky, J. E. (2015). Small-sample adjustments for tests of moderators and model fit using robust variance estimation in meta-regression. </w:t>
      </w:r>
      <w:r w:rsidRPr="00032250">
        <w:rPr>
          <w:rFonts w:cs="Times New Roman"/>
          <w:i/>
          <w:iCs/>
          <w:noProof/>
          <w:szCs w:val="24"/>
        </w:rPr>
        <w:t>Journal of Educational and Behavioral Statistics</w:t>
      </w:r>
      <w:r w:rsidRPr="00032250">
        <w:rPr>
          <w:rFonts w:cs="Times New Roman"/>
          <w:noProof/>
          <w:szCs w:val="24"/>
        </w:rPr>
        <w:t xml:space="preserve">, </w:t>
      </w:r>
      <w:r w:rsidRPr="00032250">
        <w:rPr>
          <w:rFonts w:cs="Times New Roman"/>
          <w:i/>
          <w:iCs/>
          <w:noProof/>
          <w:szCs w:val="24"/>
        </w:rPr>
        <w:t>40</w:t>
      </w:r>
      <w:r w:rsidRPr="00032250">
        <w:rPr>
          <w:rFonts w:cs="Times New Roman"/>
          <w:noProof/>
          <w:szCs w:val="24"/>
        </w:rPr>
        <w:t>(6), 604–634. https://doi.org/10.3102/1076998615606099</w:t>
      </w:r>
    </w:p>
    <w:p w14:paraId="52981AC4"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Tsafnat, G., Glasziou, P., Choong, M. K., Dunn, A., Galgani, F., &amp; Coiera, E. (2014). Systematic review automation technologies. </w:t>
      </w:r>
      <w:r w:rsidRPr="00032250">
        <w:rPr>
          <w:rFonts w:cs="Times New Roman"/>
          <w:i/>
          <w:iCs/>
          <w:noProof/>
          <w:szCs w:val="24"/>
        </w:rPr>
        <w:t>Systematic Reviews</w:t>
      </w:r>
      <w:r w:rsidRPr="00032250">
        <w:rPr>
          <w:rFonts w:cs="Times New Roman"/>
          <w:noProof/>
          <w:szCs w:val="24"/>
        </w:rPr>
        <w:t xml:space="preserve">, </w:t>
      </w:r>
      <w:r w:rsidRPr="00032250">
        <w:rPr>
          <w:rFonts w:cs="Times New Roman"/>
          <w:i/>
          <w:iCs/>
          <w:noProof/>
          <w:szCs w:val="24"/>
        </w:rPr>
        <w:t>3</w:t>
      </w:r>
      <w:r w:rsidRPr="00032250">
        <w:rPr>
          <w:rFonts w:cs="Times New Roman"/>
          <w:noProof/>
          <w:szCs w:val="24"/>
        </w:rPr>
        <w:t>(1), 74. https://doi.org/10.1186/2046-4053-3-74</w:t>
      </w:r>
    </w:p>
    <w:p w14:paraId="3047AF64"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032250">
        <w:rPr>
          <w:rFonts w:cs="Times New Roman"/>
          <w:i/>
          <w:iCs/>
          <w:noProof/>
          <w:szCs w:val="24"/>
        </w:rPr>
        <w:t>Nature Machine Intelligence</w:t>
      </w:r>
      <w:r w:rsidRPr="00032250">
        <w:rPr>
          <w:rFonts w:cs="Times New Roman"/>
          <w:noProof/>
          <w:szCs w:val="24"/>
        </w:rPr>
        <w:t xml:space="preserve">, </w:t>
      </w:r>
      <w:r w:rsidRPr="00032250">
        <w:rPr>
          <w:rFonts w:cs="Times New Roman"/>
          <w:i/>
          <w:iCs/>
          <w:noProof/>
          <w:szCs w:val="24"/>
        </w:rPr>
        <w:t>3</w:t>
      </w:r>
      <w:r w:rsidRPr="00032250">
        <w:rPr>
          <w:rFonts w:cs="Times New Roman"/>
          <w:noProof/>
          <w:szCs w:val="24"/>
        </w:rPr>
        <w:t>(2), 125–133.</w:t>
      </w:r>
    </w:p>
    <w:p w14:paraId="49204F2B"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Viechtbauer, W. (2022). </w:t>
      </w:r>
      <w:r w:rsidRPr="00032250">
        <w:rPr>
          <w:rFonts w:cs="Times New Roman"/>
          <w:i/>
          <w:iCs/>
          <w:noProof/>
          <w:szCs w:val="24"/>
        </w:rPr>
        <w:t>Miller (1978)</w:t>
      </w:r>
      <w:r w:rsidRPr="00032250">
        <w:rPr>
          <w:rFonts w:cs="Times New Roman"/>
          <w:noProof/>
          <w:szCs w:val="24"/>
        </w:rPr>
        <w:t>. https://www.metafor-project.org/doku.php/analyses:miller1978?s[]=proportion</w:t>
      </w:r>
    </w:p>
    <w:p w14:paraId="7789F52A"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szCs w:val="24"/>
        </w:rPr>
      </w:pPr>
      <w:r w:rsidRPr="00032250">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032250">
        <w:rPr>
          <w:rFonts w:cs="Times New Roman"/>
          <w:i/>
          <w:iCs/>
          <w:noProof/>
          <w:szCs w:val="24"/>
        </w:rPr>
        <w:t>BMC Medical Research Methodology</w:t>
      </w:r>
      <w:r w:rsidRPr="00032250">
        <w:rPr>
          <w:rFonts w:cs="Times New Roman"/>
          <w:noProof/>
          <w:szCs w:val="24"/>
        </w:rPr>
        <w:t xml:space="preserve">, </w:t>
      </w:r>
      <w:r w:rsidRPr="00032250">
        <w:rPr>
          <w:rFonts w:cs="Times New Roman"/>
          <w:i/>
          <w:iCs/>
          <w:noProof/>
          <w:szCs w:val="24"/>
        </w:rPr>
        <w:t>19</w:t>
      </w:r>
      <w:r w:rsidRPr="00032250">
        <w:rPr>
          <w:rFonts w:cs="Times New Roman"/>
          <w:noProof/>
          <w:szCs w:val="24"/>
        </w:rPr>
        <w:t xml:space="preserve">(1), 132. </w:t>
      </w:r>
      <w:r w:rsidRPr="00032250">
        <w:rPr>
          <w:rFonts w:cs="Times New Roman"/>
          <w:noProof/>
          <w:szCs w:val="24"/>
        </w:rPr>
        <w:lastRenderedPageBreak/>
        <w:t>https://doi.org/10.1186/s12874-019-0782-0</w:t>
      </w:r>
    </w:p>
    <w:p w14:paraId="028F5694" w14:textId="77777777" w:rsidR="00032250" w:rsidRPr="00032250" w:rsidRDefault="00032250" w:rsidP="00032250">
      <w:pPr>
        <w:widowControl w:val="0"/>
        <w:autoSpaceDE w:val="0"/>
        <w:autoSpaceDN w:val="0"/>
        <w:adjustRightInd w:val="0"/>
        <w:spacing w:after="0" w:line="360" w:lineRule="auto"/>
        <w:ind w:left="480" w:hanging="480"/>
        <w:rPr>
          <w:rFonts w:cs="Times New Roman"/>
          <w:noProof/>
        </w:rPr>
      </w:pPr>
      <w:r w:rsidRPr="00032250">
        <w:rPr>
          <w:rFonts w:cs="Times New Roman"/>
          <w:noProof/>
          <w:szCs w:val="24"/>
        </w:rPr>
        <w:t xml:space="preserve">Wang, Z., Nayfeh, T., Tetzlaff, J., O’Blenis, P., &amp; Murad, M. H. (2020). Error rates of human reviewers during abstract screening in systematic reviews. </w:t>
      </w:r>
      <w:r w:rsidRPr="00032250">
        <w:rPr>
          <w:rFonts w:cs="Times New Roman"/>
          <w:i/>
          <w:iCs/>
          <w:noProof/>
          <w:szCs w:val="24"/>
        </w:rPr>
        <w:t>PloS One</w:t>
      </w:r>
      <w:r w:rsidRPr="00032250">
        <w:rPr>
          <w:rFonts w:cs="Times New Roman"/>
          <w:noProof/>
          <w:szCs w:val="24"/>
        </w:rPr>
        <w:t xml:space="preserve">, </w:t>
      </w:r>
      <w:r w:rsidRPr="00032250">
        <w:rPr>
          <w:rFonts w:cs="Times New Roman"/>
          <w:i/>
          <w:iCs/>
          <w:noProof/>
          <w:szCs w:val="24"/>
        </w:rPr>
        <w:t>15</w:t>
      </w:r>
      <w:r w:rsidRPr="00032250">
        <w:rPr>
          <w:rFonts w:cs="Times New Roman"/>
          <w:noProof/>
          <w:szCs w:val="24"/>
        </w:rPr>
        <w:t>(1), e0227742.</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1" w:author="Mikkel Helding Vembye" w:date="2024-06-10T14:48:00Z" w:initials="MHV">
    <w:p w14:paraId="6D232CD8" w14:textId="095267A5" w:rsidR="00610A3E" w:rsidRDefault="00610A3E">
      <w:pPr>
        <w:pStyle w:val="CommentText"/>
      </w:pPr>
      <w:r>
        <w:rPr>
          <w:rStyle w:val="CommentReference"/>
        </w:rPr>
        <w:annotationRef/>
      </w:r>
      <w:r>
        <w:t>Remember to add variance measure</w:t>
      </w:r>
    </w:p>
  </w:comment>
  <w:comment w:id="2" w:author="Mikkel Helding Vembye" w:date="2024-06-10T14:13:00Z" w:initials="MHV">
    <w:p w14:paraId="60A7DE5A" w14:textId="17BDAF34" w:rsidR="00192248" w:rsidRDefault="00192248">
      <w:pPr>
        <w:pStyle w:val="CommentText"/>
      </w:pPr>
      <w:r>
        <w:rPr>
          <w:rStyle w:val="CommentReference"/>
        </w:rPr>
        <w:annotationRef/>
      </w:r>
      <w:r>
        <w:t xml:space="preserve">Consider to move to section 3.2.2, and add the use of R, metafor, clubSandwich etc. </w:t>
      </w:r>
    </w:p>
  </w:comment>
  <w:comment w:id="3" w:author="Mikkel Helding Vembye" w:date="2024-06-10T15:08:00Z" w:initials="MHV">
    <w:p w14:paraId="265C6FAA" w14:textId="36A5FE95" w:rsidR="00345A58" w:rsidRDefault="00345A58">
      <w:pPr>
        <w:pStyle w:val="CommentText"/>
      </w:pPr>
      <w:r>
        <w:rPr>
          <w:rStyle w:val="CommentReference"/>
        </w:rPr>
        <w:annotationRef/>
      </w:r>
      <w:r>
        <w:t>Amalgamate with section 5</w:t>
      </w:r>
      <w:bookmarkStart w:id="4" w:name="_GoBack"/>
      <w:bookmarkEnd w:id="4"/>
    </w:p>
  </w:comment>
  <w:comment w:id="5" w:author="Mikkel Helding Vembye" w:date="2024-01-30T14:23:00Z" w:initials="MHV">
    <w:p w14:paraId="3A862896" w14:textId="37F5FF74" w:rsidR="007263A3" w:rsidRPr="0011702D" w:rsidRDefault="007263A3">
      <w:pPr>
        <w:pStyle w:val="CommentText"/>
        <w:rPr>
          <w:lang w:val="en-US"/>
        </w:rPr>
      </w:pPr>
      <w:r>
        <w:rPr>
          <w:rStyle w:val="CommentReference"/>
        </w:rPr>
        <w:annotationRef/>
      </w:r>
      <w:r w:rsidRPr="0011702D">
        <w:rPr>
          <w:lang w:val="en-US"/>
        </w:rPr>
        <w:t xml:space="preserve">Extra </w:t>
      </w:r>
      <w:r w:rsidRPr="0011702D">
        <w:rPr>
          <w:rStyle w:val="translation"/>
          <w:lang w:val="en-US"/>
        </w:rPr>
        <w:t>security</w:t>
      </w:r>
    </w:p>
  </w:comment>
  <w:comment w:id="6" w:author="Mikkel Helding Vembye" w:date="2024-06-04T13:42:00Z" w:initials="MHV">
    <w:p w14:paraId="015C2EF5" w14:textId="21B3AA2B" w:rsidR="00FA62AD" w:rsidRPr="00065935" w:rsidRDefault="00FA62AD">
      <w:pPr>
        <w:pStyle w:val="CommentText"/>
        <w:rPr>
          <w:lang w:val="en-US"/>
        </w:rPr>
      </w:pPr>
      <w:r>
        <w:rPr>
          <w:rStyle w:val="CommentReference"/>
        </w:rPr>
        <w:annotationRef/>
      </w:r>
      <w:r w:rsidRPr="00065935">
        <w:rPr>
          <w:lang w:val="en-US"/>
        </w:rPr>
        <w:t>Check results. Does not seem to fit above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6D232CD8" w15:done="0"/>
  <w15:commentEx w15:paraId="60A7DE5A" w15:done="0"/>
  <w15:commentEx w15:paraId="265C6FAA" w15:done="0"/>
  <w15:commentEx w15:paraId="3A862896" w15:done="0"/>
  <w15:commentEx w15:paraId="015C2E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6D232CD8" w16cid:durableId="2A1190C9"/>
  <w16cid:commentId w16cid:paraId="60A7DE5A" w16cid:durableId="2A11886D"/>
  <w16cid:commentId w16cid:paraId="265C6FAA" w16cid:durableId="2A119551"/>
  <w16cid:commentId w16cid:paraId="3A862896" w16cid:durableId="296384D1"/>
  <w16cid:commentId w16cid:paraId="015C2EF5" w16cid:durableId="2A0998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D5107" w14:textId="77777777" w:rsidR="00755B8A" w:rsidRDefault="00755B8A" w:rsidP="00E22B11">
      <w:pPr>
        <w:spacing w:after="0" w:line="240" w:lineRule="auto"/>
      </w:pPr>
      <w:r>
        <w:separator/>
      </w:r>
    </w:p>
  </w:endnote>
  <w:endnote w:type="continuationSeparator" w:id="0">
    <w:p w14:paraId="4FC3FB19" w14:textId="77777777" w:rsidR="00755B8A" w:rsidRDefault="00755B8A"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EBC28" w14:textId="77777777" w:rsidR="00755B8A" w:rsidRDefault="00755B8A" w:rsidP="00E22B11">
      <w:pPr>
        <w:spacing w:after="0" w:line="240" w:lineRule="auto"/>
      </w:pPr>
      <w:r>
        <w:separator/>
      </w:r>
    </w:p>
  </w:footnote>
  <w:footnote w:type="continuationSeparator" w:id="0">
    <w:p w14:paraId="3EB12683" w14:textId="77777777" w:rsidR="00755B8A" w:rsidRDefault="00755B8A"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aoFAACo8dstAAAA"/>
  </w:docVars>
  <w:rsids>
    <w:rsidRoot w:val="00A23F06"/>
    <w:rsid w:val="00002939"/>
    <w:rsid w:val="00004D10"/>
    <w:rsid w:val="00005B30"/>
    <w:rsid w:val="00011FF4"/>
    <w:rsid w:val="00014A6B"/>
    <w:rsid w:val="00015556"/>
    <w:rsid w:val="00024398"/>
    <w:rsid w:val="00031F26"/>
    <w:rsid w:val="00032250"/>
    <w:rsid w:val="000345DE"/>
    <w:rsid w:val="000378D0"/>
    <w:rsid w:val="000414F1"/>
    <w:rsid w:val="00043140"/>
    <w:rsid w:val="00045E62"/>
    <w:rsid w:val="00050C10"/>
    <w:rsid w:val="000526D6"/>
    <w:rsid w:val="000624AA"/>
    <w:rsid w:val="00065935"/>
    <w:rsid w:val="00066D16"/>
    <w:rsid w:val="00074BF1"/>
    <w:rsid w:val="000765AE"/>
    <w:rsid w:val="00077B9E"/>
    <w:rsid w:val="0008000E"/>
    <w:rsid w:val="00081125"/>
    <w:rsid w:val="0008295A"/>
    <w:rsid w:val="000837FF"/>
    <w:rsid w:val="00084E58"/>
    <w:rsid w:val="000851F2"/>
    <w:rsid w:val="0009296A"/>
    <w:rsid w:val="000B1D78"/>
    <w:rsid w:val="000B216F"/>
    <w:rsid w:val="000D2E6D"/>
    <w:rsid w:val="000D620B"/>
    <w:rsid w:val="000F506E"/>
    <w:rsid w:val="000F56A9"/>
    <w:rsid w:val="00107C28"/>
    <w:rsid w:val="00114402"/>
    <w:rsid w:val="0011702D"/>
    <w:rsid w:val="00117829"/>
    <w:rsid w:val="00136452"/>
    <w:rsid w:val="00142CFE"/>
    <w:rsid w:val="00144033"/>
    <w:rsid w:val="00145A2B"/>
    <w:rsid w:val="00146C5D"/>
    <w:rsid w:val="001472F2"/>
    <w:rsid w:val="00155358"/>
    <w:rsid w:val="00157855"/>
    <w:rsid w:val="001605B2"/>
    <w:rsid w:val="001608CA"/>
    <w:rsid w:val="00165D32"/>
    <w:rsid w:val="00167EBB"/>
    <w:rsid w:val="00173371"/>
    <w:rsid w:val="00186531"/>
    <w:rsid w:val="00192248"/>
    <w:rsid w:val="00194CBC"/>
    <w:rsid w:val="00194D11"/>
    <w:rsid w:val="001A0C60"/>
    <w:rsid w:val="001A14D6"/>
    <w:rsid w:val="001A4320"/>
    <w:rsid w:val="001B51BB"/>
    <w:rsid w:val="001B592D"/>
    <w:rsid w:val="001B5D51"/>
    <w:rsid w:val="001B7CFE"/>
    <w:rsid w:val="001D0746"/>
    <w:rsid w:val="001D295A"/>
    <w:rsid w:val="001D4611"/>
    <w:rsid w:val="001F0247"/>
    <w:rsid w:val="001F0CFC"/>
    <w:rsid w:val="001F3EE3"/>
    <w:rsid w:val="001F4910"/>
    <w:rsid w:val="001F7678"/>
    <w:rsid w:val="00200F7D"/>
    <w:rsid w:val="00213868"/>
    <w:rsid w:val="00220AA0"/>
    <w:rsid w:val="00234C3D"/>
    <w:rsid w:val="0023752B"/>
    <w:rsid w:val="002429D3"/>
    <w:rsid w:val="00246F91"/>
    <w:rsid w:val="0025186E"/>
    <w:rsid w:val="00253BEB"/>
    <w:rsid w:val="00256D62"/>
    <w:rsid w:val="00263C8C"/>
    <w:rsid w:val="00272D9E"/>
    <w:rsid w:val="00276A96"/>
    <w:rsid w:val="00280EB1"/>
    <w:rsid w:val="00285183"/>
    <w:rsid w:val="00286F4E"/>
    <w:rsid w:val="00296111"/>
    <w:rsid w:val="0029632B"/>
    <w:rsid w:val="002A499D"/>
    <w:rsid w:val="002B3B8E"/>
    <w:rsid w:val="002B7442"/>
    <w:rsid w:val="002C730A"/>
    <w:rsid w:val="002D264A"/>
    <w:rsid w:val="002D531B"/>
    <w:rsid w:val="002D68F8"/>
    <w:rsid w:val="002E322D"/>
    <w:rsid w:val="002F4D99"/>
    <w:rsid w:val="002F53FE"/>
    <w:rsid w:val="00303077"/>
    <w:rsid w:val="00310D56"/>
    <w:rsid w:val="00310E18"/>
    <w:rsid w:val="00311D80"/>
    <w:rsid w:val="00313E98"/>
    <w:rsid w:val="00317DE3"/>
    <w:rsid w:val="00317EDB"/>
    <w:rsid w:val="00323F25"/>
    <w:rsid w:val="003259BC"/>
    <w:rsid w:val="003343F7"/>
    <w:rsid w:val="00334757"/>
    <w:rsid w:val="00340C02"/>
    <w:rsid w:val="00340FDD"/>
    <w:rsid w:val="00345A58"/>
    <w:rsid w:val="00351B92"/>
    <w:rsid w:val="003538EF"/>
    <w:rsid w:val="00356322"/>
    <w:rsid w:val="00357147"/>
    <w:rsid w:val="00363B05"/>
    <w:rsid w:val="00371CD1"/>
    <w:rsid w:val="003721BF"/>
    <w:rsid w:val="00377405"/>
    <w:rsid w:val="00382F5D"/>
    <w:rsid w:val="00390093"/>
    <w:rsid w:val="00390F19"/>
    <w:rsid w:val="00392867"/>
    <w:rsid w:val="00393721"/>
    <w:rsid w:val="0039413B"/>
    <w:rsid w:val="003A2CC6"/>
    <w:rsid w:val="003B4C84"/>
    <w:rsid w:val="003C57F2"/>
    <w:rsid w:val="003C7425"/>
    <w:rsid w:val="003D3EC1"/>
    <w:rsid w:val="003D5914"/>
    <w:rsid w:val="00410211"/>
    <w:rsid w:val="004107D8"/>
    <w:rsid w:val="00410E00"/>
    <w:rsid w:val="00411ACF"/>
    <w:rsid w:val="00423D5E"/>
    <w:rsid w:val="00430E43"/>
    <w:rsid w:val="004315B1"/>
    <w:rsid w:val="00433818"/>
    <w:rsid w:val="00441345"/>
    <w:rsid w:val="00447BAE"/>
    <w:rsid w:val="0045186C"/>
    <w:rsid w:val="00456430"/>
    <w:rsid w:val="00466B16"/>
    <w:rsid w:val="00467E10"/>
    <w:rsid w:val="0047024E"/>
    <w:rsid w:val="00476BB4"/>
    <w:rsid w:val="004808CD"/>
    <w:rsid w:val="00495581"/>
    <w:rsid w:val="00495C59"/>
    <w:rsid w:val="00496CC9"/>
    <w:rsid w:val="004B04C7"/>
    <w:rsid w:val="004B3496"/>
    <w:rsid w:val="004E1A95"/>
    <w:rsid w:val="004E28C2"/>
    <w:rsid w:val="004F1EC5"/>
    <w:rsid w:val="00502155"/>
    <w:rsid w:val="005052F2"/>
    <w:rsid w:val="005107D8"/>
    <w:rsid w:val="0051383B"/>
    <w:rsid w:val="00520939"/>
    <w:rsid w:val="00521E21"/>
    <w:rsid w:val="00525CCC"/>
    <w:rsid w:val="005322D3"/>
    <w:rsid w:val="00533A66"/>
    <w:rsid w:val="005374FF"/>
    <w:rsid w:val="00540D17"/>
    <w:rsid w:val="0054144B"/>
    <w:rsid w:val="00542711"/>
    <w:rsid w:val="00542A3C"/>
    <w:rsid w:val="00542ED6"/>
    <w:rsid w:val="005460FC"/>
    <w:rsid w:val="00557919"/>
    <w:rsid w:val="00557E46"/>
    <w:rsid w:val="005661A8"/>
    <w:rsid w:val="00570DE3"/>
    <w:rsid w:val="00570E6D"/>
    <w:rsid w:val="0057606E"/>
    <w:rsid w:val="005860BB"/>
    <w:rsid w:val="00595810"/>
    <w:rsid w:val="005A61A3"/>
    <w:rsid w:val="005C001E"/>
    <w:rsid w:val="005C01DD"/>
    <w:rsid w:val="005C149D"/>
    <w:rsid w:val="005C61C0"/>
    <w:rsid w:val="005C6CFD"/>
    <w:rsid w:val="005D0384"/>
    <w:rsid w:val="005D50DA"/>
    <w:rsid w:val="005E3081"/>
    <w:rsid w:val="005F5FAC"/>
    <w:rsid w:val="005F7456"/>
    <w:rsid w:val="006057E3"/>
    <w:rsid w:val="00606EFD"/>
    <w:rsid w:val="00610A3E"/>
    <w:rsid w:val="00611107"/>
    <w:rsid w:val="006118FB"/>
    <w:rsid w:val="006140D7"/>
    <w:rsid w:val="006156B4"/>
    <w:rsid w:val="00623AAE"/>
    <w:rsid w:val="00625587"/>
    <w:rsid w:val="006417A3"/>
    <w:rsid w:val="006433DF"/>
    <w:rsid w:val="00646458"/>
    <w:rsid w:val="00663E77"/>
    <w:rsid w:val="00672E8D"/>
    <w:rsid w:val="006747EC"/>
    <w:rsid w:val="0068158C"/>
    <w:rsid w:val="0069033F"/>
    <w:rsid w:val="00690BFB"/>
    <w:rsid w:val="006A5825"/>
    <w:rsid w:val="006A6649"/>
    <w:rsid w:val="006A74AC"/>
    <w:rsid w:val="006B6642"/>
    <w:rsid w:val="006C1FAB"/>
    <w:rsid w:val="006C7126"/>
    <w:rsid w:val="006C76E0"/>
    <w:rsid w:val="006D577C"/>
    <w:rsid w:val="006D57CE"/>
    <w:rsid w:val="006D796F"/>
    <w:rsid w:val="006E0EAD"/>
    <w:rsid w:val="006E5DFF"/>
    <w:rsid w:val="006E76C1"/>
    <w:rsid w:val="006E7DA1"/>
    <w:rsid w:val="006F63D8"/>
    <w:rsid w:val="0070110A"/>
    <w:rsid w:val="00704CC4"/>
    <w:rsid w:val="007130DD"/>
    <w:rsid w:val="007263A3"/>
    <w:rsid w:val="0072792A"/>
    <w:rsid w:val="007318B3"/>
    <w:rsid w:val="00732822"/>
    <w:rsid w:val="007332FC"/>
    <w:rsid w:val="007340E8"/>
    <w:rsid w:val="007346FF"/>
    <w:rsid w:val="00734ACC"/>
    <w:rsid w:val="007355A1"/>
    <w:rsid w:val="00735FFC"/>
    <w:rsid w:val="00740B8D"/>
    <w:rsid w:val="00743CF7"/>
    <w:rsid w:val="00747C76"/>
    <w:rsid w:val="00751331"/>
    <w:rsid w:val="00751375"/>
    <w:rsid w:val="00752C13"/>
    <w:rsid w:val="00754FC8"/>
    <w:rsid w:val="00755B8A"/>
    <w:rsid w:val="00785285"/>
    <w:rsid w:val="00793B6A"/>
    <w:rsid w:val="007948B5"/>
    <w:rsid w:val="007A4FC4"/>
    <w:rsid w:val="007A5754"/>
    <w:rsid w:val="007B03A8"/>
    <w:rsid w:val="007B4CDF"/>
    <w:rsid w:val="007B5F92"/>
    <w:rsid w:val="007D01EA"/>
    <w:rsid w:val="007D199E"/>
    <w:rsid w:val="007E1D1B"/>
    <w:rsid w:val="007E73D4"/>
    <w:rsid w:val="007F58AE"/>
    <w:rsid w:val="007F5CA3"/>
    <w:rsid w:val="00802447"/>
    <w:rsid w:val="00803181"/>
    <w:rsid w:val="00804FD5"/>
    <w:rsid w:val="00806F5B"/>
    <w:rsid w:val="00807874"/>
    <w:rsid w:val="00811203"/>
    <w:rsid w:val="008120A4"/>
    <w:rsid w:val="008228C7"/>
    <w:rsid w:val="00826232"/>
    <w:rsid w:val="00826945"/>
    <w:rsid w:val="00831924"/>
    <w:rsid w:val="00836421"/>
    <w:rsid w:val="0084703D"/>
    <w:rsid w:val="00856BA9"/>
    <w:rsid w:val="00860934"/>
    <w:rsid w:val="00871275"/>
    <w:rsid w:val="008802B3"/>
    <w:rsid w:val="00880700"/>
    <w:rsid w:val="008809B3"/>
    <w:rsid w:val="00881112"/>
    <w:rsid w:val="00890ED0"/>
    <w:rsid w:val="00891AD7"/>
    <w:rsid w:val="0089339C"/>
    <w:rsid w:val="0089387E"/>
    <w:rsid w:val="008A385E"/>
    <w:rsid w:val="008A5716"/>
    <w:rsid w:val="008B2076"/>
    <w:rsid w:val="008B330E"/>
    <w:rsid w:val="008B5C84"/>
    <w:rsid w:val="008C3F74"/>
    <w:rsid w:val="008C5665"/>
    <w:rsid w:val="008C7FAA"/>
    <w:rsid w:val="008D1FE3"/>
    <w:rsid w:val="008D3308"/>
    <w:rsid w:val="008E12A3"/>
    <w:rsid w:val="008E1A47"/>
    <w:rsid w:val="008E3D8D"/>
    <w:rsid w:val="008E4A35"/>
    <w:rsid w:val="008F0252"/>
    <w:rsid w:val="008F1538"/>
    <w:rsid w:val="008F3446"/>
    <w:rsid w:val="008F5E22"/>
    <w:rsid w:val="008F73ED"/>
    <w:rsid w:val="00901901"/>
    <w:rsid w:val="009044A0"/>
    <w:rsid w:val="00905C8C"/>
    <w:rsid w:val="009125FA"/>
    <w:rsid w:val="00927057"/>
    <w:rsid w:val="00932CB0"/>
    <w:rsid w:val="00950F4A"/>
    <w:rsid w:val="00953421"/>
    <w:rsid w:val="00955BAF"/>
    <w:rsid w:val="00962924"/>
    <w:rsid w:val="00974422"/>
    <w:rsid w:val="0098255F"/>
    <w:rsid w:val="009854F9"/>
    <w:rsid w:val="00985796"/>
    <w:rsid w:val="009867F7"/>
    <w:rsid w:val="009A0C73"/>
    <w:rsid w:val="009A0D77"/>
    <w:rsid w:val="009A0FAE"/>
    <w:rsid w:val="009A757B"/>
    <w:rsid w:val="009A7B19"/>
    <w:rsid w:val="009B29FF"/>
    <w:rsid w:val="009B4B6E"/>
    <w:rsid w:val="009D3333"/>
    <w:rsid w:val="009E0ED5"/>
    <w:rsid w:val="009F7526"/>
    <w:rsid w:val="009F7953"/>
    <w:rsid w:val="00A005F9"/>
    <w:rsid w:val="00A10243"/>
    <w:rsid w:val="00A13E90"/>
    <w:rsid w:val="00A21A6B"/>
    <w:rsid w:val="00A2293C"/>
    <w:rsid w:val="00A23F06"/>
    <w:rsid w:val="00A256F9"/>
    <w:rsid w:val="00A25FC2"/>
    <w:rsid w:val="00A27B00"/>
    <w:rsid w:val="00A4058B"/>
    <w:rsid w:val="00A40E4F"/>
    <w:rsid w:val="00A44FFC"/>
    <w:rsid w:val="00A4653A"/>
    <w:rsid w:val="00A46794"/>
    <w:rsid w:val="00A473E7"/>
    <w:rsid w:val="00A529FE"/>
    <w:rsid w:val="00A53F1F"/>
    <w:rsid w:val="00A54E70"/>
    <w:rsid w:val="00A63955"/>
    <w:rsid w:val="00A6591A"/>
    <w:rsid w:val="00A86CFD"/>
    <w:rsid w:val="00A90284"/>
    <w:rsid w:val="00A907B9"/>
    <w:rsid w:val="00A97287"/>
    <w:rsid w:val="00AA4BB7"/>
    <w:rsid w:val="00AA699A"/>
    <w:rsid w:val="00AB0F15"/>
    <w:rsid w:val="00AB299A"/>
    <w:rsid w:val="00AB4492"/>
    <w:rsid w:val="00AC200B"/>
    <w:rsid w:val="00AC7465"/>
    <w:rsid w:val="00AD3408"/>
    <w:rsid w:val="00AD612C"/>
    <w:rsid w:val="00AD7055"/>
    <w:rsid w:val="00AE0887"/>
    <w:rsid w:val="00AE4081"/>
    <w:rsid w:val="00AF1FF2"/>
    <w:rsid w:val="00AF4595"/>
    <w:rsid w:val="00AF690D"/>
    <w:rsid w:val="00B030B9"/>
    <w:rsid w:val="00B11511"/>
    <w:rsid w:val="00B11F8C"/>
    <w:rsid w:val="00B120A6"/>
    <w:rsid w:val="00B1564C"/>
    <w:rsid w:val="00B20225"/>
    <w:rsid w:val="00B270BF"/>
    <w:rsid w:val="00B35298"/>
    <w:rsid w:val="00B53BDD"/>
    <w:rsid w:val="00B54EC3"/>
    <w:rsid w:val="00B55A11"/>
    <w:rsid w:val="00B561CE"/>
    <w:rsid w:val="00B6152F"/>
    <w:rsid w:val="00B6328D"/>
    <w:rsid w:val="00B721DE"/>
    <w:rsid w:val="00B740D9"/>
    <w:rsid w:val="00B85B57"/>
    <w:rsid w:val="00B92AF4"/>
    <w:rsid w:val="00B92FF8"/>
    <w:rsid w:val="00B947BB"/>
    <w:rsid w:val="00BA1204"/>
    <w:rsid w:val="00BA7D98"/>
    <w:rsid w:val="00BB7925"/>
    <w:rsid w:val="00BC3CE5"/>
    <w:rsid w:val="00BD65EB"/>
    <w:rsid w:val="00BE290F"/>
    <w:rsid w:val="00BE2999"/>
    <w:rsid w:val="00BE4E8F"/>
    <w:rsid w:val="00BF0C53"/>
    <w:rsid w:val="00C01387"/>
    <w:rsid w:val="00C01EC0"/>
    <w:rsid w:val="00C03E98"/>
    <w:rsid w:val="00C12283"/>
    <w:rsid w:val="00C14FF5"/>
    <w:rsid w:val="00C1782D"/>
    <w:rsid w:val="00C26460"/>
    <w:rsid w:val="00C26BBA"/>
    <w:rsid w:val="00C314F2"/>
    <w:rsid w:val="00C36576"/>
    <w:rsid w:val="00C4017B"/>
    <w:rsid w:val="00C43AB0"/>
    <w:rsid w:val="00C46DF7"/>
    <w:rsid w:val="00C57118"/>
    <w:rsid w:val="00C62CD9"/>
    <w:rsid w:val="00C65579"/>
    <w:rsid w:val="00C72046"/>
    <w:rsid w:val="00C77380"/>
    <w:rsid w:val="00C812DA"/>
    <w:rsid w:val="00C83910"/>
    <w:rsid w:val="00C9006C"/>
    <w:rsid w:val="00C97FCE"/>
    <w:rsid w:val="00CA251A"/>
    <w:rsid w:val="00CA34D8"/>
    <w:rsid w:val="00CA6827"/>
    <w:rsid w:val="00CA7E26"/>
    <w:rsid w:val="00CB5104"/>
    <w:rsid w:val="00CC2B3C"/>
    <w:rsid w:val="00CD105E"/>
    <w:rsid w:val="00CD1813"/>
    <w:rsid w:val="00CD5241"/>
    <w:rsid w:val="00CD576D"/>
    <w:rsid w:val="00CE10BC"/>
    <w:rsid w:val="00CE468E"/>
    <w:rsid w:val="00CE5E3E"/>
    <w:rsid w:val="00CE7E7D"/>
    <w:rsid w:val="00CF14B2"/>
    <w:rsid w:val="00CF4C27"/>
    <w:rsid w:val="00D0040B"/>
    <w:rsid w:val="00D027A4"/>
    <w:rsid w:val="00D02FC4"/>
    <w:rsid w:val="00D04E6F"/>
    <w:rsid w:val="00D067F9"/>
    <w:rsid w:val="00D06CB7"/>
    <w:rsid w:val="00D10144"/>
    <w:rsid w:val="00D247A4"/>
    <w:rsid w:val="00D33A0B"/>
    <w:rsid w:val="00D342AD"/>
    <w:rsid w:val="00D43317"/>
    <w:rsid w:val="00D70412"/>
    <w:rsid w:val="00D753BF"/>
    <w:rsid w:val="00D825FE"/>
    <w:rsid w:val="00D86B72"/>
    <w:rsid w:val="00DA5DCA"/>
    <w:rsid w:val="00DA5E2D"/>
    <w:rsid w:val="00DA6612"/>
    <w:rsid w:val="00DB0A23"/>
    <w:rsid w:val="00DB0C82"/>
    <w:rsid w:val="00DB1D88"/>
    <w:rsid w:val="00DB2079"/>
    <w:rsid w:val="00DB3155"/>
    <w:rsid w:val="00DC3E2D"/>
    <w:rsid w:val="00DC3EC6"/>
    <w:rsid w:val="00DC4895"/>
    <w:rsid w:val="00DC7C60"/>
    <w:rsid w:val="00DD4464"/>
    <w:rsid w:val="00DD4509"/>
    <w:rsid w:val="00DD4DE4"/>
    <w:rsid w:val="00DD5C6C"/>
    <w:rsid w:val="00DD7881"/>
    <w:rsid w:val="00DE45AC"/>
    <w:rsid w:val="00DE4FC3"/>
    <w:rsid w:val="00DE62DD"/>
    <w:rsid w:val="00DE7226"/>
    <w:rsid w:val="00DF14F6"/>
    <w:rsid w:val="00DF1A00"/>
    <w:rsid w:val="00DF351E"/>
    <w:rsid w:val="00E03701"/>
    <w:rsid w:val="00E16408"/>
    <w:rsid w:val="00E179C3"/>
    <w:rsid w:val="00E22B11"/>
    <w:rsid w:val="00E22EFE"/>
    <w:rsid w:val="00E268FB"/>
    <w:rsid w:val="00E374F5"/>
    <w:rsid w:val="00E41AB0"/>
    <w:rsid w:val="00E50CAC"/>
    <w:rsid w:val="00E804D0"/>
    <w:rsid w:val="00E82BE5"/>
    <w:rsid w:val="00E91434"/>
    <w:rsid w:val="00E96383"/>
    <w:rsid w:val="00E96DD2"/>
    <w:rsid w:val="00E97DAC"/>
    <w:rsid w:val="00EA13BE"/>
    <w:rsid w:val="00EA68E1"/>
    <w:rsid w:val="00EB0949"/>
    <w:rsid w:val="00EB6061"/>
    <w:rsid w:val="00EC6241"/>
    <w:rsid w:val="00EC7E2E"/>
    <w:rsid w:val="00ED31AC"/>
    <w:rsid w:val="00ED563D"/>
    <w:rsid w:val="00ED63F5"/>
    <w:rsid w:val="00EE3736"/>
    <w:rsid w:val="00EE7F05"/>
    <w:rsid w:val="00EF0A2C"/>
    <w:rsid w:val="00EF267A"/>
    <w:rsid w:val="00EF601C"/>
    <w:rsid w:val="00EF6EA2"/>
    <w:rsid w:val="00F10888"/>
    <w:rsid w:val="00F13A2B"/>
    <w:rsid w:val="00F1767F"/>
    <w:rsid w:val="00F17A5F"/>
    <w:rsid w:val="00F328D4"/>
    <w:rsid w:val="00F37E55"/>
    <w:rsid w:val="00F4361C"/>
    <w:rsid w:val="00F4715C"/>
    <w:rsid w:val="00F51139"/>
    <w:rsid w:val="00F54D4D"/>
    <w:rsid w:val="00F55B35"/>
    <w:rsid w:val="00F55C04"/>
    <w:rsid w:val="00F778FB"/>
    <w:rsid w:val="00F8213A"/>
    <w:rsid w:val="00F85F12"/>
    <w:rsid w:val="00F9103F"/>
    <w:rsid w:val="00FA1036"/>
    <w:rsid w:val="00FA62AD"/>
    <w:rsid w:val="00FA768B"/>
    <w:rsid w:val="00FD5CE2"/>
    <w:rsid w:val="00FD6AC7"/>
    <w:rsid w:val="00FE2947"/>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6794"/>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bit.ly/3spivo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8B7D8-9CE8-4207-8715-CC3D6DDAC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6852</TotalTime>
  <Pages>36</Pages>
  <Words>44851</Words>
  <Characters>255655</Characters>
  <Application>Microsoft Office Word</Application>
  <DocSecurity>0</DocSecurity>
  <Lines>2130</Lines>
  <Paragraphs>599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299907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605</cp:revision>
  <cp:lastPrinted>2024-06-10T12:07:00Z</cp:lastPrinted>
  <dcterms:created xsi:type="dcterms:W3CDTF">2023-11-14T09:26:00Z</dcterms:created>
  <dcterms:modified xsi:type="dcterms:W3CDTF">2024-06-10T13:08:00Z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