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intensive procedure th</w:t>
      </w:r>
      <w:r w:rsidR="00625587">
        <w:rPr>
          <w:lang w:val="en-US"/>
        </w:rPr>
        <w:t xml:space="preserve">at slows the review process which </w:t>
      </w:r>
      <w:r w:rsidR="00890ED0">
        <w:rPr>
          <w:lang w:val="en-US"/>
        </w:rPr>
        <w:t xml:space="preserve">ultimately excludes </w:t>
      </w:r>
      <w:r w:rsidRPr="001F0CFC">
        <w:rPr>
          <w:lang w:val="en-US"/>
        </w:rPr>
        <w:t>many researchers from using it</w:t>
      </w:r>
      <w:r>
        <w:rPr>
          <w:lang w:val="en-US"/>
        </w:rPr>
        <w:t xml:space="preserve">. </w:t>
      </w:r>
      <w:r w:rsidR="00625587">
        <w:rPr>
          <w:lang w:val="en-US"/>
        </w:rPr>
        <w:t>Therefore</w:t>
      </w:r>
      <w:r w:rsidR="00303077">
        <w:rPr>
          <w:lang w:val="en-US"/>
        </w:rPr>
        <w:t>, we evaluate</w:t>
      </w:r>
      <w:r w:rsidR="002D264A">
        <w:rPr>
          <w:lang w:val="en-US"/>
        </w:rPr>
        <w:t>d</w:t>
      </w:r>
      <w:r w:rsidR="00303077">
        <w:rPr>
          <w:lang w:val="en-US"/>
        </w:rPr>
        <w:t xml:space="preserve"> the use of ChatGPT as a</w:t>
      </w:r>
      <w:r w:rsidR="00625587">
        <w:rPr>
          <w:lang w:val="en-US"/>
        </w:rPr>
        <w:t>n alternative</w:t>
      </w:r>
      <w:r w:rsidR="00303077">
        <w:rPr>
          <w:lang w:val="en-US"/>
        </w:rPr>
        <w:t xml:space="preserve"> second screener of titles and abstracts in large-</w:t>
      </w:r>
      <w:r w:rsidR="00625587">
        <w:rPr>
          <w:lang w:val="en-US"/>
        </w:rPr>
        <w:t>scale systematic reviews. To access the performance of ChatGPT</w:t>
      </w:r>
      <w:r w:rsidR="00303077">
        <w:rPr>
          <w:lang w:val="en-US"/>
        </w:rPr>
        <w:t xml:space="preserve">, we develop benchmarks to compare the screening performance between humans and any given AI screener based on conflict rates estimates </w:t>
      </w:r>
      <w:r w:rsidR="00625587">
        <w:rPr>
          <w:lang w:val="en-US"/>
        </w:rPr>
        <w:t>from 16</w:t>
      </w:r>
      <w:r w:rsidR="00303077">
        <w:rPr>
          <w:lang w:val="en-US"/>
        </w:rPr>
        <w:t xml:space="preserve"> large-scale </w:t>
      </w:r>
      <w:r w:rsidR="00570E6D">
        <w:rPr>
          <w:lang w:val="en-US"/>
        </w:rPr>
        <w:t>Campbell Systematic R</w:t>
      </w:r>
      <w:r w:rsidR="00303077">
        <w:rPr>
          <w:lang w:val="en-US"/>
        </w:rPr>
        <w:t xml:space="preserve">eviews conducted over the last 10 years </w:t>
      </w:r>
      <w:r w:rsidR="00625587">
        <w:rPr>
          <w:lang w:val="en-US"/>
        </w:rPr>
        <w:t>by</w:t>
      </w:r>
      <w:r w:rsidR="00570E6D">
        <w:rPr>
          <w:lang w:val="en-US"/>
        </w:rPr>
        <w:t xml:space="preserve"> </w:t>
      </w:r>
      <w:r w:rsidR="009125FA">
        <w:rPr>
          <w:lang w:val="en-US"/>
        </w:rPr>
        <w:t>the Danish VIVE Campbell group</w:t>
      </w:r>
      <w:r w:rsidR="00303077">
        <w:rPr>
          <w:lang w:val="en-US"/>
        </w:rPr>
        <w:t>.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humans. </w:t>
      </w:r>
      <w:r w:rsidR="00F85F12">
        <w:rPr>
          <w:lang w:val="en-US"/>
        </w:rPr>
        <w:t xml:space="preserve">To support future reviewers, we </w:t>
      </w:r>
      <w:r w:rsidR="00303077">
        <w:rPr>
          <w:lang w:val="en-US"/>
        </w:rPr>
        <w:t xml:space="preserve">develop a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625587">
        <w:rPr>
          <w:lang w:val="en-US"/>
        </w:rPr>
        <w:t>. For this purpose,</w:t>
      </w:r>
      <w:r w:rsidR="00F85F12">
        <w:rPr>
          <w:lang w:val="en-US"/>
        </w:rPr>
        <w:t xml:space="preserve"> we present the R package AIscreenR. </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r w:rsidRPr="005112A8">
        <w:rPr>
          <w:rFonts w:cs="Times New Roman"/>
          <w:b/>
          <w:bCs/>
          <w:szCs w:val="24"/>
        </w:rPr>
        <w:t>What is already known</w:t>
      </w:r>
    </w:p>
    <w:p w:rsidR="00E22B11" w:rsidRDefault="00625587" w:rsidP="00E22B11">
      <w:pPr>
        <w:pStyle w:val="ListParagraph"/>
        <w:numPr>
          <w:ilvl w:val="0"/>
          <w:numId w:val="3"/>
        </w:numPr>
        <w:spacing w:line="360" w:lineRule="auto"/>
        <w:rPr>
          <w:rFonts w:cs="Times New Roman"/>
          <w:szCs w:val="24"/>
        </w:rPr>
      </w:pPr>
      <w:r>
        <w:rPr>
          <w:rFonts w:cs="Times New Roman"/>
          <w:szCs w:val="24"/>
        </w:rPr>
        <w:t xml:space="preserve">ChatGPT and related GPT APIs have been shown to work as a second screener of titles and abstracts within clinical and software literature. </w:t>
      </w:r>
    </w:p>
    <w:p w:rsidR="00625587" w:rsidRDefault="00625587" w:rsidP="00E22B11">
      <w:pPr>
        <w:pStyle w:val="ListParagraph"/>
        <w:numPr>
          <w:ilvl w:val="0"/>
          <w:numId w:val="3"/>
        </w:numPr>
        <w:spacing w:line="360" w:lineRule="auto"/>
        <w:rPr>
          <w:rFonts w:cs="Times New Roman"/>
          <w:szCs w:val="24"/>
        </w:rPr>
      </w:pPr>
    </w:p>
    <w:p w:rsidR="00E22B11" w:rsidRPr="005112A8" w:rsidRDefault="00E22B11" w:rsidP="00E22B11">
      <w:pPr>
        <w:spacing w:line="360" w:lineRule="auto"/>
        <w:rPr>
          <w:rFonts w:cs="Times New Roman"/>
          <w:b/>
          <w:bCs/>
          <w:szCs w:val="24"/>
        </w:rPr>
      </w:pPr>
      <w:r w:rsidRPr="005112A8">
        <w:rPr>
          <w:rFonts w:cs="Times New Roman"/>
          <w:b/>
          <w:bCs/>
          <w:szCs w:val="24"/>
        </w:rPr>
        <w:t>What is new</w:t>
      </w:r>
    </w:p>
    <w:p w:rsidR="00625587" w:rsidRPr="00625587" w:rsidRDefault="00625587" w:rsidP="00625587">
      <w:pPr>
        <w:pStyle w:val="ListParagraph"/>
        <w:numPr>
          <w:ilvl w:val="0"/>
          <w:numId w:val="2"/>
        </w:numPr>
        <w:spacing w:line="360" w:lineRule="auto"/>
        <w:rPr>
          <w:rFonts w:cs="Times New Roman"/>
          <w:szCs w:val="24"/>
        </w:rPr>
      </w:pPr>
      <w:r>
        <w:rPr>
          <w:rFonts w:cs="Times New Roman"/>
          <w:szCs w:val="24"/>
        </w:rPr>
        <w:t>We develop new benchmarks for comparing the AI screening performance relative to humans.</w:t>
      </w:r>
    </w:p>
    <w:p w:rsidR="00625587" w:rsidRDefault="00625587" w:rsidP="00E22B11">
      <w:pPr>
        <w:pStyle w:val="ListParagraph"/>
        <w:numPr>
          <w:ilvl w:val="0"/>
          <w:numId w:val="2"/>
        </w:numPr>
        <w:spacing w:line="360" w:lineRule="auto"/>
        <w:rPr>
          <w:rFonts w:cs="Times New Roman"/>
          <w:szCs w:val="24"/>
        </w:rPr>
      </w:pPr>
      <w:r>
        <w:rPr>
          <w:rFonts w:cs="Times New Roman"/>
          <w:szCs w:val="24"/>
        </w:rPr>
        <w:t>We show that ChatGPT can be a highly reliable second screener in the social science review as well.</w:t>
      </w:r>
    </w:p>
    <w:p w:rsidR="00E22B11" w:rsidRDefault="00625587" w:rsidP="00E22B11">
      <w:pPr>
        <w:pStyle w:val="ListParagraph"/>
        <w:numPr>
          <w:ilvl w:val="0"/>
          <w:numId w:val="2"/>
        </w:numPr>
        <w:spacing w:line="360" w:lineRule="auto"/>
        <w:rPr>
          <w:rFonts w:cs="Times New Roman"/>
          <w:szCs w:val="24"/>
        </w:rPr>
      </w:pPr>
      <w:r>
        <w:rPr>
          <w:rFonts w:cs="Times New Roman"/>
          <w:szCs w:val="24"/>
        </w:rPr>
        <w:t xml:space="preserve">We present </w:t>
      </w:r>
      <w:r w:rsidR="00C1782D">
        <w:rPr>
          <w:rFonts w:cs="Times New Roman"/>
          <w:szCs w:val="24"/>
        </w:rPr>
        <w:t xml:space="preserve">from most recent gpt-models. </w:t>
      </w:r>
    </w:p>
    <w:p w:rsidR="00E22B11" w:rsidRDefault="00625587" w:rsidP="00E22B11">
      <w:pPr>
        <w:pStyle w:val="ListParagraph"/>
        <w:numPr>
          <w:ilvl w:val="0"/>
          <w:numId w:val="2"/>
        </w:numPr>
        <w:spacing w:line="360" w:lineRule="auto"/>
        <w:rPr>
          <w:rFonts w:cs="Times New Roman"/>
          <w:szCs w:val="24"/>
        </w:rPr>
      </w:pPr>
      <w:r>
        <w:rPr>
          <w:rFonts w:cs="Times New Roman"/>
          <w:szCs w:val="24"/>
        </w:rPr>
        <w:t xml:space="preserve">We present the R package AIscreenR to ensure standardized conduct of title and abstract screening with ChatGPT. </w:t>
      </w:r>
    </w:p>
    <w:p w:rsidR="00E22B11" w:rsidRPr="005112A8" w:rsidRDefault="00E22B11" w:rsidP="00E22B11">
      <w:pPr>
        <w:spacing w:line="360" w:lineRule="auto"/>
        <w:rPr>
          <w:rFonts w:cs="Times New Roman"/>
          <w:b/>
          <w:bCs/>
          <w:szCs w:val="24"/>
        </w:rPr>
      </w:pPr>
      <w:r w:rsidRPr="005112A8">
        <w:rPr>
          <w:rFonts w:cs="Times New Roman"/>
          <w:b/>
          <w:bCs/>
          <w:szCs w:val="24"/>
        </w:rPr>
        <w:t>Potential impact</w:t>
      </w:r>
    </w:p>
    <w:p w:rsidR="00625587" w:rsidRDefault="00625587" w:rsidP="00625587">
      <w:pPr>
        <w:pStyle w:val="ListParagraph"/>
        <w:numPr>
          <w:ilvl w:val="0"/>
          <w:numId w:val="4"/>
        </w:numPr>
        <w:spacing w:line="360" w:lineRule="auto"/>
        <w:rPr>
          <w:rFonts w:cs="Times New Roman"/>
          <w:szCs w:val="24"/>
        </w:rPr>
      </w:pPr>
      <w:r>
        <w:rPr>
          <w:rFonts w:cs="Times New Roman"/>
          <w:szCs w:val="24"/>
        </w:rPr>
        <w:t>Changing double screening title and abstract screening in systematic reviews</w:t>
      </w:r>
    </w:p>
    <w:p w:rsidR="00625587" w:rsidRPr="00625587" w:rsidRDefault="00625587" w:rsidP="00625587">
      <w:pPr>
        <w:pStyle w:val="ListParagraph"/>
        <w:numPr>
          <w:ilvl w:val="0"/>
          <w:numId w:val="4"/>
        </w:numPr>
        <w:spacing w:line="360" w:lineRule="auto"/>
        <w:rPr>
          <w:rFonts w:cs="Times New Roman"/>
          <w:szCs w:val="24"/>
        </w:rPr>
      </w:pPr>
      <w:r>
        <w:rPr>
          <w:rFonts w:cs="Times New Roman"/>
          <w:szCs w:val="24"/>
        </w:rPr>
        <w:t>Stan</w:t>
      </w:r>
      <w:r w:rsidR="00C1782D">
        <w:rPr>
          <w:rFonts w:cs="Times New Roman"/>
          <w:szCs w:val="24"/>
        </w:rPr>
        <w:t>dardizing screening with ChatGPT</w:t>
      </w:r>
    </w:p>
    <w:p w:rsidR="00E22B11" w:rsidRDefault="00E22B11" w:rsidP="00625587">
      <w:pPr>
        <w:pStyle w:val="ListParagraph"/>
        <w:spacing w:line="360" w:lineRule="auto"/>
        <w:rPr>
          <w:rFonts w:cs="Times New Roman"/>
          <w:szCs w:val="24"/>
        </w:rPr>
      </w:pP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 xml:space="preserve">vant studies (with 3% for experienced screeners), </w:t>
      </w:r>
      <w:r w:rsidR="008C7FAA">
        <w:rPr>
          <w:lang w:val="en-US"/>
        </w:rPr>
        <w:t>mostly changing</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Yet, double-screening is a costly and resource</w:t>
      </w:r>
      <w:r w:rsidR="00807874" w:rsidRPr="001F0CFC">
        <w:rPr>
          <w:lang w:val="en-US"/>
        </w:rPr>
        <w:t>-</w:t>
      </w:r>
      <w:r w:rsidR="00625587">
        <w:rPr>
          <w:lang w:val="en-US"/>
        </w:rPr>
        <w:t>intensive procedure which ultimately excludes</w:t>
      </w:r>
      <w:r w:rsidRPr="001F0CFC">
        <w:rPr>
          <w:lang w:val="en-US"/>
        </w:rPr>
        <w:t xml:space="preserve"> many researchers from using </w:t>
      </w:r>
      <w:r w:rsidR="00625587">
        <w:rPr>
          <w:lang w:val="en-US"/>
        </w:rPr>
        <w:t>i</w:t>
      </w:r>
      <w:r w:rsidRPr="001F0CFC">
        <w:rPr>
          <w:lang w:val="en-US"/>
        </w:rPr>
        <w:t>t. An alternative to human double-screening is to use automated tools to act as the second screener</w:t>
      </w:r>
      <w:r w:rsidR="00C03E98" w:rsidRPr="001F0CFC">
        <w:rPr>
          <w:lang w:val="en-US"/>
        </w:rPr>
        <w:t xml:space="preserve"> </w:t>
      </w:r>
      <w:r w:rsidR="00C03E98">
        <w:fldChar w:fldCharType="begin" w:fldLock="1"/>
      </w:r>
      <w:r w:rsidR="008C7FAA">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eviouslyFormattedCitation":"&lt;sup&gt;2&lt;/sup&gt;"},"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(Gartlehner et al., 2019; van de Schoot et al. 2021). Previous eval</w:t>
      </w:r>
      <w:r w:rsidR="00807874" w:rsidRPr="001F0CFC">
        <w:rPr>
          <w:lang w:val="en-US"/>
        </w:rPr>
        <w:t xml:space="preserve">uations of existing tools find </w:t>
      </w:r>
      <w:r w:rsidRPr="001F0CFC">
        <w:rPr>
          <w:lang w:val="en-US"/>
        </w:rPr>
        <w:t xml:space="preserve">that most automated tools fail to reliably act as/imitating a human second screener. Meanwhile, it is </w:t>
      </w:r>
      <w:r w:rsidR="008C7FAA">
        <w:rPr>
          <w:lang w:val="en-US"/>
        </w:rPr>
        <w:t>still less known how well</w:t>
      </w:r>
      <w:r w:rsidRPr="001F0CFC">
        <w:rPr>
          <w:lang w:val="en-US"/>
        </w:rPr>
        <w:t xml:space="preserve"> or if the newly developed large-language models (LLMs)</w:t>
      </w:r>
      <w:r w:rsidR="008C7FAA">
        <w:rPr>
          <w:lang w:val="en-US"/>
        </w:rPr>
        <w:t>,</w:t>
      </w:r>
      <w:r w:rsidRPr="001F0CFC">
        <w:rPr>
          <w:lang w:val="en-US"/>
        </w:rPr>
        <w:t xml:space="preserve"> such as ChatGPT</w:t>
      </w:r>
      <w:r w:rsidR="008C7FAA">
        <w:rPr>
          <w:lang w:val="en-US"/>
        </w:rPr>
        <w:t xml:space="preserve">, can work as a reliable </w:t>
      </w:r>
      <w:r w:rsidRPr="001F0CFC">
        <w:rPr>
          <w:lang w:val="en-US"/>
        </w:rPr>
        <w:t>second screener, especially within social science reviews.</w:t>
      </w:r>
    </w:p>
    <w:p w:rsidR="00540D17" w:rsidRPr="00F85F12" w:rsidRDefault="00540D17" w:rsidP="00E22B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Collaboration</w:t>
        </w:r>
      </w:hyperlink>
      <w:r w:rsidRPr="00F85F12">
        <w:rPr>
          <w:lang w:val="en-US"/>
        </w:rPr>
        <w:t>)</w:t>
      </w:r>
    </w:p>
    <w:p w:rsidR="00540D17" w:rsidRPr="001F0CFC" w:rsidRDefault="00540D17" w:rsidP="00E22B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C03E98" w:rsidRDefault="00C03E98" w:rsidP="00E22B11">
      <w:pPr>
        <w:spacing w:line="360" w:lineRule="auto"/>
        <w:rPr>
          <w:i/>
          <w:lang w:val="en-US"/>
        </w:rPr>
      </w:pPr>
      <w:r w:rsidRPr="001F0CFC">
        <w:rPr>
          <w:i/>
          <w:lang w:val="en-US"/>
        </w:rPr>
        <w:t>Previous research</w:t>
      </w:r>
    </w:p>
    <w:p w:rsidR="00625587" w:rsidRPr="00625587" w:rsidRDefault="00625587" w:rsidP="00E22B11">
      <w:pPr>
        <w:spacing w:line="360" w:lineRule="auto"/>
      </w:pPr>
      <w:r>
        <w:rPr>
          <w:lang w:val="en-US"/>
        </w:rPr>
        <w:t>Syriani et al.</w:t>
      </w:r>
      <w:r w:rsidRPr="00625587">
        <w:t xml:space="preserve"> </w:t>
      </w:r>
      <w:r>
        <w:fldChar w:fldCharType="begin" w:fldLock="1"/>
      </w:r>
      <w:r w:rsidR="00C77380">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3&lt;/sup&gt;"},"properties":{"noteIndex":0},"schema":"https://github.com/citation-style-language/schema/raw/master/csl-citation.json"}</w:instrText>
      </w:r>
      <w:r>
        <w:fldChar w:fldCharType="separate"/>
      </w:r>
      <w:r w:rsidR="00C77380" w:rsidRPr="00C77380">
        <w:rPr>
          <w:noProof/>
          <w:vertAlign w:val="superscript"/>
        </w:rPr>
        <w:t>3</w:t>
      </w:r>
      <w:r>
        <w:fldChar w:fldCharType="end"/>
      </w:r>
      <w:r>
        <w:rPr>
          <w:lang w:val="en-US"/>
        </w:rPr>
        <w:t xml:space="preserve"> test the performance relative to other machine-learning models.</w:t>
      </w:r>
    </w:p>
    <w:p w:rsidR="00C1782D" w:rsidRDefault="00C03E98" w:rsidP="00E22B11">
      <w:pPr>
        <w:spacing w:line="360" w:lineRule="auto"/>
        <w:rPr>
          <w:i/>
          <w:lang w:val="en-US"/>
        </w:rPr>
      </w:pPr>
      <w:r w:rsidRPr="001F0CFC">
        <w:rPr>
          <w:i/>
          <w:lang w:val="en-US"/>
        </w:rPr>
        <w:t>What we do different</w:t>
      </w:r>
      <w:r w:rsidR="00B270BF" w:rsidRPr="001F0CFC">
        <w:rPr>
          <w:i/>
          <w:lang w:val="en-US"/>
        </w:rPr>
        <w:t>ly</w:t>
      </w:r>
    </w:p>
    <w:p w:rsidR="00625587" w:rsidRDefault="00625587" w:rsidP="00625587">
      <w:pPr>
        <w:pStyle w:val="ListParagraph"/>
        <w:numPr>
          <w:ilvl w:val="0"/>
          <w:numId w:val="5"/>
        </w:numPr>
        <w:spacing w:line="360" w:lineRule="auto"/>
        <w:rPr>
          <w:lang w:val="en-US"/>
        </w:rPr>
      </w:pPr>
      <w:r>
        <w:rPr>
          <w:lang w:val="en-US"/>
        </w:rPr>
        <w:t xml:space="preserve">Use newest models with function calling. We are the first to present results for the GPT-4 model. </w:t>
      </w:r>
    </w:p>
    <w:p w:rsidR="00C1782D" w:rsidRPr="00C1782D" w:rsidRDefault="00C1782D" w:rsidP="00C1782D">
      <w:pPr>
        <w:spacing w:line="360" w:lineRule="auto"/>
        <w:rPr>
          <w:lang w:val="en-US"/>
        </w:rPr>
      </w:pPr>
      <w:r>
        <w:t>”</w:t>
      </w:r>
      <w:r w:rsidRPr="00C1782D">
        <w:rPr>
          <w:i/>
        </w:rPr>
        <w:t>Function calling allows developers to more reliably get structured data back from the model.</w:t>
      </w:r>
      <w:r>
        <w:t>” (</w:t>
      </w:r>
      <w:hyperlink r:id="rId9" w:history="1">
        <w:r w:rsidRPr="006F23AB">
          <w:rPr>
            <w:rStyle w:val="Hyperlink"/>
          </w:rPr>
          <w:t>https://openai.com/blog/function-calling-and-other-api-updates</w:t>
        </w:r>
      </w:hyperlink>
      <w:r>
        <w:t>)</w:t>
      </w:r>
    </w:p>
    <w:p w:rsidR="00625587" w:rsidRDefault="00625587" w:rsidP="00625587">
      <w:pPr>
        <w:pStyle w:val="ListParagraph"/>
        <w:numPr>
          <w:ilvl w:val="0"/>
          <w:numId w:val="5"/>
        </w:numPr>
        <w:spacing w:line="360" w:lineRule="auto"/>
        <w:rPr>
          <w:lang w:val="en-US"/>
        </w:rPr>
      </w:pPr>
      <w:r>
        <w:rPr>
          <w:lang w:val="en-US"/>
        </w:rPr>
        <w:t>Instead of comparing GPT to other machine learning models, we develop benchmark for comparing human and AI performance.</w:t>
      </w:r>
    </w:p>
    <w:p w:rsidR="00625587" w:rsidRPr="00625587" w:rsidRDefault="00625587" w:rsidP="00625587">
      <w:pPr>
        <w:pStyle w:val="ListParagraph"/>
        <w:numPr>
          <w:ilvl w:val="0"/>
          <w:numId w:val="5"/>
        </w:numPr>
        <w:spacing w:line="360" w:lineRule="auto"/>
        <w:rPr>
          <w:lang w:val="en-US"/>
        </w:rPr>
      </w:pPr>
      <w:r>
        <w:rPr>
          <w:lang w:val="en-US"/>
        </w:rPr>
        <w:t xml:space="preserve">Develop new software (AIscreenR) to standardize the title and abstract screening with GPT. </w:t>
      </w:r>
    </w:p>
    <w:p w:rsidR="00C03E98" w:rsidRDefault="00C03E98" w:rsidP="00E22B11">
      <w:pPr>
        <w:spacing w:line="360" w:lineRule="auto"/>
        <w:rPr>
          <w:i/>
          <w:lang w:val="en-US"/>
        </w:rPr>
      </w:pPr>
      <w:r w:rsidRPr="001F0CFC">
        <w:rPr>
          <w:i/>
          <w:lang w:val="en-US"/>
        </w:rPr>
        <w:lastRenderedPageBreak/>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r w:rsidRPr="001F0CFC">
        <w:rPr>
          <w:i/>
          <w:lang w:val="en-US"/>
        </w:rPr>
        <w:t>gpt-model</w:t>
      </w:r>
    </w:p>
    <w:p w:rsidR="00625587" w:rsidRDefault="00C77380">
      <w:pPr>
        <w:rPr>
          <w:lang w:val="en-US"/>
        </w:rPr>
      </w:pPr>
      <w:r>
        <w:rPr>
          <w:lang w:val="en-US"/>
        </w:rPr>
        <w:t>The two main metrics we used to evaluate the performance of ChatGPT were the recall and specificity metrics. The “recall measures the ability to include all references that should be included”</w:t>
      </w:r>
      <w:r>
        <w:rPr>
          <w:lang w:val="en-US"/>
        </w:rPr>
        <w:fldChar w:fldCharType="begin" w:fldLock="1"/>
      </w:r>
      <w:r>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3&lt;/sup&gt;"},"properties":{"noteIndex":0},"schema":"https://github.com/citation-style-language/schema/raw/master/csl-citation.json"}</w:instrText>
      </w:r>
      <w:r>
        <w:rPr>
          <w:lang w:val="en-US"/>
        </w:rPr>
        <w:fldChar w:fldCharType="separate"/>
      </w:r>
      <w:r w:rsidRPr="00C77380">
        <w:rPr>
          <w:noProof/>
          <w:vertAlign w:val="superscript"/>
          <w:lang w:val="en-US"/>
        </w:rPr>
        <w:t>3</w:t>
      </w:r>
      <w:r>
        <w:rPr>
          <w:lang w:val="en-US"/>
        </w:rPr>
        <w:fldChar w:fldCharType="end"/>
      </w:r>
      <w:r>
        <w:rPr>
          <w:lang w:val="en-US"/>
        </w:rPr>
        <w:t xml:space="preserve"> and is given by</w:t>
      </w:r>
    </w:p>
    <w:p w:rsidR="00C77380" w:rsidRPr="00C77380" w:rsidRDefault="00C77380">
      <w:pPr>
        <w:rPr>
          <w:rFonts w:eastAsiaTheme="minorEastAsia"/>
          <w:lang w:val="en-US"/>
        </w:rPr>
      </w:pPr>
      <m:oMathPara>
        <m:oMath>
          <m:r>
            <w:rPr>
              <w:rFonts w:ascii="Cambria Math" w:hAnsi="Cambria Math"/>
              <w:lang w:val="en-US"/>
            </w:rPr>
            <m:t>Rec=</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p w:rsidR="00C77380" w:rsidRDefault="00C77380">
      <w:pPr>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falsely excluded. Contrary, the “specificity measures the ability to exclude all references that should be excluded”</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operties":{"noteIndex":0},"schema":"https://github.com/citation-style-language/schema/raw/master/csl-citation.json"}</w:instrText>
      </w:r>
      <w:r>
        <w:rPr>
          <w:rFonts w:eastAsiaTheme="minorEastAsia"/>
          <w:lang w:val="en-US"/>
        </w:rPr>
        <w:fldChar w:fldCharType="separate"/>
      </w:r>
      <w:r w:rsidRPr="00C77380">
        <w:rPr>
          <w:rFonts w:eastAsiaTheme="minorEastAsia"/>
          <w:noProof/>
          <w:vertAlign w:val="superscript"/>
          <w:lang w:val="en-US"/>
        </w:rPr>
        <w:t>3</w:t>
      </w:r>
      <w:r>
        <w:rPr>
          <w:rFonts w:eastAsiaTheme="minorEastAsia"/>
          <w:lang w:val="en-US"/>
        </w:rPr>
        <w:fldChar w:fldCharType="end"/>
      </w:r>
      <w:r>
        <w:rPr>
          <w:rFonts w:eastAsiaTheme="minorEastAsia"/>
          <w:lang w:val="en-US"/>
        </w:rPr>
        <w:t xml:space="preserve">, that is </w:t>
      </w:r>
    </w:p>
    <w:p w:rsidR="00C77380" w:rsidRDefault="00C77380">
      <w:pPr>
        <w:rPr>
          <w:rFonts w:eastAsiaTheme="minorEastAsia"/>
          <w:lang w:val="en-US"/>
        </w:rPr>
      </w:pPr>
      <m:oMathPara>
        <m:oMath>
          <m:r>
            <w:rPr>
              <w:rFonts w:ascii="Cambria Math" w:eastAsiaTheme="minorEastAsia" w:hAnsi="Cambria Math"/>
              <w:lang w:val="en-US"/>
            </w:rPr>
            <m:t>Spec=</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p w:rsidR="00C77380" w:rsidRDefault="00C77380" w:rsidP="00C77380">
      <w:pPr>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w:t>
      </w:r>
      <w:r>
        <w:rPr>
          <w:rFonts w:eastAsiaTheme="minorEastAsia"/>
          <w:lang w:val="en-US"/>
        </w:rPr>
        <w:t>negative</w:t>
      </w:r>
      <w:r>
        <w:rPr>
          <w:rFonts w:eastAsiaTheme="minorEastAsia"/>
          <w:lang w:val="en-US"/>
        </w:rPr>
        <w:t>) represents all the studies that are correctly</w:t>
      </w:r>
      <w:r>
        <w:rPr>
          <w:rFonts w:eastAsiaTheme="minorEastAsia"/>
          <w:lang w:val="en-US"/>
        </w:rPr>
        <w:t xml:space="preserve"> </w:t>
      </w:r>
      <w:r>
        <w:rPr>
          <w:rFonts w:eastAsiaTheme="minorEastAsia"/>
          <w:lang w:val="en-US"/>
        </w:rPr>
        <w:t xml:space="preserve">excluded, and </w:t>
      </w:r>
      <m:oMath>
        <m:r>
          <w:rPr>
            <w:rFonts w:ascii="Cambria Math" w:eastAsiaTheme="minorEastAsia" w:hAnsi="Cambria Math"/>
            <w:lang w:val="en-US"/>
          </w:rPr>
          <m:t>FP</m:t>
        </m:r>
      </m:oMath>
      <w:r>
        <w:rPr>
          <w:rFonts w:eastAsiaTheme="minorEastAsia"/>
          <w:lang w:val="en-US"/>
        </w:rPr>
        <w:t xml:space="preserve"> (false positive</w:t>
      </w:r>
      <w:r>
        <w:rPr>
          <w:rFonts w:eastAsiaTheme="minorEastAsia"/>
          <w:lang w:val="en-US"/>
        </w:rPr>
        <w:t>) is the number of studies falsely included</w:t>
      </w:r>
      <w:r>
        <w:rPr>
          <w:rFonts w:eastAsiaTheme="minorEastAsia"/>
          <w:lang w:val="en-US"/>
        </w:rPr>
        <w:t xml:space="preserve">.  </w:t>
      </w:r>
      <w:r>
        <w:rPr>
          <w:rFonts w:eastAsiaTheme="minorEastAsia"/>
          <w:lang w:val="en-US"/>
        </w:rPr>
        <w:t xml:space="preserve">The recall metric can be considered the most important metric since it can seriously bias a review </w:t>
      </w:r>
      <w:r>
        <w:rPr>
          <w:rFonts w:eastAsiaTheme="minorEastAsia"/>
          <w:lang w:val="en-US"/>
        </w:rPr>
        <w:t>if the screener excludes references</w:t>
      </w:r>
      <w:r>
        <w:rPr>
          <w:rFonts w:eastAsiaTheme="minorEastAsia"/>
          <w:lang w:val="en-US"/>
        </w:rPr>
        <w:t xml:space="preserve"> that should have</w:t>
      </w:r>
      <w:r>
        <w:rPr>
          <w:rFonts w:eastAsiaTheme="minorEastAsia"/>
          <w:lang w:val="en-US"/>
        </w:rPr>
        <w:t xml:space="preserve"> been included. Whereas, a low specificity “just” means that reviewers must re-examine a larger share of the reference. This goes without saying that reviewers should accept low specificity rates. We will come back to that in the following sections.  </w:t>
      </w:r>
    </w:p>
    <w:p w:rsidR="00C77380" w:rsidRDefault="00C77380" w:rsidP="00C77380">
      <w:pPr>
        <w:ind w:firstLine="1304"/>
        <w:rPr>
          <w:rFonts w:eastAsiaTheme="minorEastAsia"/>
          <w:lang w:val="en-US"/>
        </w:rPr>
      </w:pPr>
      <w:r>
        <w:rPr>
          <w:rFonts w:eastAsiaTheme="minorEastAsia"/>
          <w:lang w:val="en-US"/>
        </w:rPr>
        <w:t xml:space="preserve">In our simulation, the above </w:t>
      </w:r>
      <w:r>
        <w:rPr>
          <w:rFonts w:eastAsiaTheme="minorEastAsia"/>
          <w:lang w:val="en-US"/>
        </w:rPr>
        <w:t xml:space="preserve">conditions are determined by comparing GPT’s decision with the final decision made by two independent human screeners. </w:t>
      </w:r>
      <w:r>
        <w:rPr>
          <w:rFonts w:eastAsiaTheme="minorEastAsia"/>
          <w:lang w:val="en-US"/>
        </w:rPr>
        <w:t xml:space="preserve">For benchmark development, the conditions are determined by comparing the single screener decision </w:t>
      </w:r>
      <w:r>
        <w:rPr>
          <w:rFonts w:eastAsiaTheme="minorEastAsia"/>
          <w:lang w:val="en-US"/>
        </w:rPr>
        <w:t xml:space="preserve">with the final decision </w:t>
      </w:r>
      <w:r>
        <w:rPr>
          <w:rFonts w:eastAsiaTheme="minorEastAsia"/>
          <w:lang w:val="en-US"/>
        </w:rPr>
        <w:t xml:space="preserve">agreed upon between the two human screeners. </w:t>
      </w:r>
    </w:p>
    <w:p w:rsidR="00C77380" w:rsidRDefault="00C77380" w:rsidP="00C77380">
      <w:pPr>
        <w:rPr>
          <w:rFonts w:eastAsiaTheme="minorEastAsia"/>
          <w:lang w:val="en-US"/>
        </w:rPr>
      </w:pPr>
      <w:r>
        <w:rPr>
          <w:rFonts w:eastAsiaTheme="minorEastAsia"/>
          <w:lang w:val="en-US"/>
        </w:rPr>
        <w:tab/>
        <w:t>Overall assessment metric:</w:t>
      </w:r>
      <w:bookmarkStart w:id="0" w:name="_GoBack"/>
      <w:bookmarkEnd w:id="0"/>
    </w:p>
    <w:p w:rsidR="00C77380" w:rsidRPr="00C77380" w:rsidRDefault="00C77380" w:rsidP="00C77380">
      <w:pPr>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Rec+Spec</m:t>
              </m:r>
            </m:num>
            <m:den>
              <m:r>
                <w:rPr>
                  <w:rFonts w:ascii="Cambria Math" w:hAnsi="Cambria Math"/>
                  <w:lang w:val="en-US"/>
                </w:rPr>
                <m:t>2</m:t>
              </m:r>
            </m:den>
          </m:f>
        </m:oMath>
      </m:oMathPara>
    </w:p>
    <w:p w:rsidR="00C77380" w:rsidRDefault="00C77380" w:rsidP="00C77380">
      <w:pPr>
        <w:rPr>
          <w:rFonts w:eastAsiaTheme="minorEastAsia"/>
          <w:lang w:val="en-US"/>
        </w:rPr>
      </w:pPr>
    </w:p>
    <w:p w:rsidR="00C77380" w:rsidRPr="00C77380" w:rsidRDefault="00C77380" w:rsidP="00C77380">
      <w:pPr>
        <w:rPr>
          <w:rFonts w:eastAsiaTheme="minorEastAsia"/>
          <w:lang w:val="en-US"/>
        </w:rPr>
      </w:pPr>
    </w:p>
    <w:p w:rsidR="00C77380" w:rsidRPr="00C77380" w:rsidRDefault="00C77380">
      <w:pPr>
        <w:rPr>
          <w:lang w:val="en-US"/>
        </w:rPr>
      </w:pPr>
    </w:p>
    <w:p w:rsidR="00C77380" w:rsidRDefault="00B740D9" w:rsidP="00E22B11">
      <w:pPr>
        <w:spacing w:line="360" w:lineRule="auto"/>
        <w:rPr>
          <w:i/>
          <w:lang w:val="en-US"/>
        </w:rPr>
      </w:pPr>
      <w:r w:rsidRPr="001F0CFC">
        <w:rPr>
          <w:i/>
          <w:lang w:val="en-US"/>
        </w:rPr>
        <w:t>Human performance vs. AI performance</w:t>
      </w:r>
    </w:p>
    <w:p w:rsidR="00C77380" w:rsidRDefault="00C77380">
      <w:pPr>
        <w:rPr>
          <w:i/>
          <w:lang w:val="en-US"/>
        </w:rPr>
      </w:pPr>
      <w:r>
        <w:rPr>
          <w:lang w:val="en-US"/>
        </w:rPr>
        <w:t xml:space="preserve">To grasp a better understanding of the AI performance. </w:t>
      </w:r>
      <w:r>
        <w:rPr>
          <w:i/>
          <w:lang w:val="en-US"/>
        </w:rPr>
        <w:br w:type="page"/>
      </w:r>
    </w:p>
    <w:p w:rsidR="00B740D9" w:rsidRDefault="00625587" w:rsidP="00E22B11">
      <w:pPr>
        <w:spacing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the average estimated via the PESCE+ 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xKKQIAAC0EAAAOAAAAZHJzL2Uyb0RvYy54bWysU9uO2yAQfa/Uf0C8N469uWysOKtttqkq&#10;bS/Sbj8AYxyjAkOBxN5+/Q44StL2rSoPiLlwOHNmWN8NWpGjcF6CqWg+mVIiDIdGmn1Fvz/v3t1S&#10;4gMzDVNgREVfhKd3m7dv1r0tRQEdqEY4giDGl72taBeCLbPM805o5idghcFgC06zgKbbZ41jPaJr&#10;lRXT6SLrwTXWARfeo/dhDNJNwm9bwcPXtvUiEFVR5BbS7tJexz3brFm5d8x2kp9osH9goZk0+OgZ&#10;6oEFRg5O/gWlJXfgoQ0TDjqDtpVcpBqwmnz6RzVPHbMi1YLieHuWyf8/WP7l+M0R2VS0yJeUGKax&#10;Sc9iCOQ9DKSI+vTWl5j2ZDExDOjGPqdavX0E/sMTA9uOmb24dw76TrAG+eXxZnZ1dcTxEaTuP0OD&#10;z7BDgAQ0tE4TB9icfIFNxZXcqA7Bx7BtL+dWRWYcncvVzeymmFPCMTZf5ovVdJ6eZGVEi62wzoeP&#10;AjSJh4o6nIUEy46PPkR2l5SY7kHJZieVSobb11vlyJHh3OzSOqH/lqYM6Su6miOReMtAvJ9GSsuA&#10;c62krujtWFFyR3U+mCadA5NqPCMTZU5yRYVGrcJQD5gYNayheUHhkkQoB/43LKgD94uSHme3ov7n&#10;gTlBifpkUPxVPpvFYU/GbL4s0HDXkfo6wgxHqIoGSsbjNqQPMlZ0j01qZdLrwuTEFWcyyXj6P3Ho&#10;r+2Udfnlm1cAAAD//wMAUEsDBBQABgAIAAAAIQCTm7NR4gAAAAoBAAAPAAAAZHJzL2Rvd25yZXYu&#10;eG1sTI9NS8NAEIbvgv9hGcGLtLs2oTUxmyLFD3oRbEXobZsdk2B2NmS3bfTXdzzpaRjeh3eeKZaj&#10;68QRh9B60nA7VSCQKm9bqjW8b58mdyBCNGRN5wk1fGOAZXl5UZjc+hO94XETa8ElFHKjoYmxz6UM&#10;VYPOhKnvkTj79IMzkdehlnYwJy53nZwpNZfOtMQXGtPjqsHqa3NwGhYvr/NdXLmfdves1tnjjVv3&#10;6YfW11fjwz2IiGP8g+FXn9WhZKe9P5ANotOQqJRJDVnCk/MsUQsQewaTdJaBLAv5/4XyDAAA//8D&#10;AFBLAQItABQABgAIAAAAIQC2gziS/gAAAOEBAAATAAAAAAAAAAAAAAAAAAAAAABbQ29udGVudF9U&#10;eXBlc10ueG1sUEsBAi0AFAAGAAgAAAAhADj9If/WAAAAlAEAAAsAAAAAAAAAAAAAAAAALwEAAF9y&#10;ZWxzLy5yZWxzUEsBAi0AFAAGAAgAAAAhADWUnEopAgAALQQAAA4AAAAAAAAAAAAAAAAALgIAAGRy&#10;cy9lMm9Eb2MueG1sUEsBAi0AFAAGAAgAAAAhAJObs1HiAAAACgEAAA8AAAAAAAAAAAAAAAAAgwQA&#10;AGRycy9kb3ducmV2LnhtbFBLBQYAAAAABAAEAPMAAACSBQAAAAA=&#10;" stroked="f">
                <v:textbox>
                  <w:txbxContent>
                    <w:p w:rsidR="00625587" w:rsidRDefault="00625587">
                      <w:pPr>
                        <w:rPr>
                          <w:noProof/>
                          <w:lang w:val="en-US"/>
                        </w:rPr>
                      </w:pPr>
                      <w:r>
                        <w:rPr>
                          <w:noProof/>
                          <w:lang w:val="en-US"/>
                        </w:rPr>
                        <w:drawing>
                          <wp:inline distT="0" distB="0" distL="0" distR="0">
                            <wp:extent cx="7657470" cy="44672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t_grid f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63535" cy="4470763"/>
                                    </a:xfrm>
                                    <a:prstGeom prst="rect">
                                      <a:avLst/>
                                    </a:prstGeom>
                                  </pic:spPr>
                                </pic:pic>
                              </a:graphicData>
                            </a:graphic>
                          </wp:inline>
                        </w:drawing>
                      </w:r>
                    </w:p>
                    <w:p w:rsidR="00625587" w:rsidRDefault="00625587">
                      <w:r>
                        <w:rPr>
                          <w:noProof/>
                          <w:lang w:val="en-US"/>
                        </w:rPr>
                        <w:t xml:space="preserve">FIGURE 1. Performance measures within Campbell Systematic Reviews across assistants vs. authors. Dashed line indicate the average estimated via the PESCE+ model.  </w:t>
                      </w:r>
                    </w:p>
                  </w:txbxContent>
                </v:textbox>
                <w10:wrap type="square"/>
              </v:shape>
            </w:pict>
          </mc:Fallback>
        </mc:AlternateContent>
      </w:r>
      <w:r>
        <w:rPr>
          <w:lang w:val="en-US"/>
        </w:rPr>
        <w:br w:type="textWrapping" w:clear="all"/>
      </w:r>
      <w:r>
        <w:rPr>
          <w:i/>
          <w:lang w:val="en-US"/>
        </w:rPr>
        <w:br w:type="page"/>
      </w:r>
    </w:p>
    <w:p w:rsidR="008C7FAA" w:rsidRPr="008C7FAA" w:rsidRDefault="008C7FAA" w:rsidP="00E22B11">
      <w:pPr>
        <w:spacing w:line="360" w:lineRule="auto"/>
        <w:rPr>
          <w:lang w:val="en-US"/>
        </w:rPr>
      </w:pPr>
      <w:r>
        <w:rPr>
          <w:lang w:val="en-US"/>
        </w:rPr>
        <w:lastRenderedPageBreak/>
        <w:t xml:space="preserve">Campbell Systematic Reviews that we use </w:t>
      </w:r>
      <w:r>
        <w:rPr>
          <w:lang w:val="en-US"/>
        </w:rPr>
        <w:fldChar w:fldCharType="begin" w:fldLock="1"/>
      </w:r>
      <w:r w:rsidR="00C77380">
        <w:rPr>
          <w:lang w:val="en-US"/>
        </w:rPr>
        <w:instrText>ADDIN CSL_CITATION {"citationItems":[{"id":"ITEM-1","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Reviews","id":"ITEM-1","issue":"2","issued":{"date-parts":[["2020","6","1"]]},"note":"https://doi.org/10.1002/cl2.1081","page":"e1081","publisher":"John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review","type":"article-journal","volume":"16"},"uris":["http://www.mendeley.com/documents/?uuid=935d5a9b-ae75-43d3-82f6-8e064a803de7"]},{"id":"ITEM-2","itemData":{"DOI":"10.1002/cl2.1152","ISSN":"1891-1803","abstract":"Abstract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Reviews","id":"ITEM-2","issue":"2","issued":{"date-parts":[["2021","6","1"]]},"note":"https://doi.org/10.1002/cl2.1152","page":"e1152","publisher":"John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review","type":"article-journal","volume":"17"},"uris":["http://www.mendeley.com/documents/?uuid=98d80e0d-d063-4a45-9356-5790cc69d028"]},{"id":"ITEM-3","itemData":{"DOI":"https://doi.org/10.1002/cl2.1239","ISSN":"1891-1803","abstract":"Abstract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Reviews","id":"ITEM-3","issue":"2","issued":{"date-parts":[["2022","6","1"]]},"note":"https://doi.org/10.1002/cl2.1239","page":"e1239","publisher":"John Wiley &amp; Sons, Ltd","title":"Adult/child ratio and group size in early childhood education or care to promote the development of children aged 0–5 years: A systematic review","type":"article-journal","volume":"18"},"uris":["http://www.mendeley.com/documents/?uuid=59498c8a-f14f-480d-a14e-a90bdaba55c6"]},{"id":"ITEM-4","itemData":{"DOI":"10.1002/cl2.1254","ISSN":"1891-1803","author":[{"dropping-particle":"","family":"Dalgaard","given":"Nina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Reviews","id":"ITEM-4","issue":"3","issued":{"date-parts":[["2022"]]},"page":"e1254","publisher":"Wiley Online Library","title":"PROTOCOL: Group‐based community interventions to support the social reintegration of marginalised adults with mental illness","type":"article-journal","volume":"18"},"uris":["http://www.mendeley.com/documents/?uuid=92431b4e-6549-4459-80db-b8206012c245"]},{"id":"ITEM-5","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Reviews","id":"ITEM-5","issue":"1","issued":{"date-parts":[["2018"]]},"page":"1-107","publisher":"Wiley Online Library","title":"Small class sizes for improving student achievement in primary and secondary schools: A systematic review","type":"article-journal","volume":"14"},"uris":["http://www.mendeley.com/documents/?uuid=5ef4f8a9-0a14-4f17-984d-1c8e1db407d0"]},{"id":"ITEM-6","itemData":{"DOI":"https://doi.org/10.1002/cl2.1124","abstract":"Abstract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Reviews","id":"ITEM-6","issue":"4","issued":{"date-parts":[["2020","12","1"]]},"page":"e1124","publisher":"John Wiley &amp; Sons, Ltd","title":"Voluntary work for the physical and mental health of older volunteers: A systematic review","type":"article-journal","volume":"16"},"uris":["http://www.mendeley.com/documents/?uuid=f8f6b9b0-e1fb-4ca4-9315-b8c258516251"]},{"id":"ITEM-7","itemData":{"DOI":"https://doi.org/10.4073/csr.2015.13","abstract":"This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Reviews","id":"ITEM-7","issue":"1","issued":{"date-parts":[["2015","1","1"]]},"page":"1-104","publisher":"John Wiley &amp; Sons, Ltd","title":"The Impact of Detention on the Health of Asylum Seekers: A Systematic Review","type":"article-journal","volume":"11"},"uris":["http://www.mendeley.com/documents/?uuid=6edf766e-8f48-43e4-bb3e-b8d3fd26873a"]},{"id":"ITEM-8","itemData":{"DOI":"https://doi.org/10.4073/csr.2018.6","abstract":"This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Reviews","id":"ITEM-8","issue":"1","issued":{"date-parts":[["2018","1","1"]]},"page":"1-127","publisher":"John Wiley &amp; Sons, Ltd","title":"Deployment of personnel to military operations: impact on mental health and social functioning","type":"article-journal","volume":"14"},"uris":["http://www.mendeley.com/documents/?uuid=06ea9354-789a-4361-8678-daf782266bce"]},{"id":"ITEM-9","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Reviews","id":"ITEM-9","issue":"4","issued":{"date-parts":[["2019","12","1"]]},"page":"e1060","publisher":"John Wiley &amp; Sons, Ltd","title":"Effectiveness of continuing professional development training of welfare professionals on outcomes for children and young people: A systematic review","type":"article-journal","volume":"15"},"uris":["http://www.mendeley.com/documents/?uuid=44dbd3a9-2ef2-44f1-b506-fc3c0a964806"]},{"id":"ITEM-10","itemData":{"DOI":"https://doi.org/10.1002/cl2.1209","abstract":"Abstract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Reviews","id":"ITEM-10","issue":"1","issued":{"date-parts":[["2022","3","1"]]},"page":"e1209","publisher":"John Wiley &amp; Sons, Ltd","title":"Parenting interventions to support parent/child attachment and psychosocial adjustment in foster and adoptive parents and children: A systematic review","type":"article-journal","volume":"18"},"uris":["http://www.mendeley.com/documents/?uuid=ff60b38e-e7df-4e5c-8f8d-d5b8c04a3123"]},{"id":"ITEM-11","itemData":{"author":[{"dropping-particle":"","family":"Filges","given":"Trine","non-dropping-particle":"","parse-names":false,"suffix":""}],"container-title":"Campbell Systematic Reviews","id":"ITEM-11","issued":{"date-parts":[["2023"]]},"title":"The FRIENDS preventive programme for reducing anxiety symptoms in children and adolescents: A systematic review","type":"article-journal"},"uris":["http://www.mendeley.com/documents/?uuid=66d6d46e-09b4-44f4-acac-a17c5b548f64"]},{"id":"ITEM-12","itemData":{"DOI":"https://doi.org/10.1002/cl2.1291","abstract":"Abstract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Reviews","id":"ITEM-12","issue":"4","issued":{"date-parts":[["2022","12","1"]]},"page":"e1291","publisher":"John Wiley &amp; Sons, Ltd","title":"The effects of inclusion on academic achievement, socioemotional development and wellbeing of children with special educational needs","type":"article-journal","volume":"18"},"uris":["http://www.mendeley.com/documents/?uuid=b6b95e85-4447-4aae-97a8-780173c279bb"]},{"id":"ITEM-13","itemData":{"DOI":"https://doi.org/10.1002/cl2.1282","abstract":"Abstract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Reviews","id":"ITEM-13","issue":"4","issued":{"date-parts":[["2022","12","1"]]},"page":"e1282","publisher":"John Wiley &amp; Sons, Ltd","title":"Outreach programs to improve life circumstances and prevent further adverse developmental trajectories of at-risk youth in OECD countries: A systematic review","type":"article-journal","volume":"18"},"uris":["http://www.mendeley.com/documents/?uuid=58bfffa0-0cef-4f8b-89a7-648790bb8c61"]},{"id":"ITEM-14","itemData":{"DOI":"https://doi.org/10.1002/cl2.1210","abstract":"Abstract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Reviews","id":"ITEM-14","issue":"1","issued":{"date-parts":[["2022","3","1"]]},"page":"e1210","publisher":"John Wiley &amp; Sons, Ltd","title":"Service learning for improving academic success in students in grade K to 12: A systematic review","type":"article-journal","volume":"18"},"uris":["http://www.mendeley.com/documents/?uuid=fb1df05f-f9fc-4567-819f-086dbedf20e8"]},{"id":"ITEM-15","itemData":{"DOI":"https://doi.org/10.1002/cl2.1321","abstract":"Abstract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Reviews","id":"ITEM-15","issue":"2","issued":{"date-parts":[["2023","6","1"]]},"page":"e1321","publisher":"John Wiley &amp; Sons, Ltd","title":"PROTOCOL: Participation in organised sport to improve and prevent adverse developmental trajectories of at-risk youth: A systematic review","type":"article-journal","volume":"19"},"uris":["http://www.mendeley.com/documents/?uuid=03e49dec-f104-42ac-9b42-803b648b9f1b"]},{"id":"ITEM-16","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Reviews","id":"ITEM-16","issue":"3","issued":{"date-parts":[["2023"]]},"page":"e1345","publisher":"Wiley Online Library","title":"The effects of small class sizes on students' academic achievement, socioemotional development and well‐being in special education: A systematic review","type":"article-journal","volume":"19"},"uris":["http://www.mendeley.com/documents/?uuid=4bbe10ee-f42e-4a4f-a23a-f5258e09dda8"]}],"mendeley":{"formattedCitation":"&lt;sup&gt;4–19&lt;/sup&gt;","plainTextFormattedCitation":"4–19","previouslyFormattedCitation":"&lt;sup&gt;4,5,14–19,6–13&lt;/sup&gt;"},"properties":{"noteIndex":0},"schema":"https://github.com/citation-style-language/schema/raw/master/csl-citation.json"}</w:instrText>
      </w:r>
      <w:r>
        <w:rPr>
          <w:lang w:val="en-US"/>
        </w:rPr>
        <w:fldChar w:fldCharType="separate"/>
      </w:r>
      <w:r w:rsidR="00C77380" w:rsidRPr="00C77380">
        <w:rPr>
          <w:noProof/>
          <w:vertAlign w:val="superscript"/>
          <w:lang w:val="en-US"/>
        </w:rPr>
        <w:t>4–19</w:t>
      </w:r>
      <w:r>
        <w:rPr>
          <w:lang w:val="en-US"/>
        </w:rPr>
        <w:fldChar w:fldCharType="end"/>
      </w:r>
    </w:p>
    <w:p w:rsidR="00303077" w:rsidRPr="001F0CFC" w:rsidRDefault="00303077" w:rsidP="00E22B11">
      <w:pPr>
        <w:spacing w:line="360" w:lineRule="auto"/>
        <w:rPr>
          <w:i/>
          <w:lang w:val="en-US"/>
        </w:rPr>
      </w:pPr>
      <w:r>
        <w:rPr>
          <w:i/>
          <w:lang w:val="en-US"/>
        </w:rPr>
        <w:t>Simulation data</w:t>
      </w:r>
    </w:p>
    <w:p w:rsidR="00C03E98" w:rsidRDefault="00C03E98" w:rsidP="00E22B11">
      <w:pPr>
        <w:spacing w:line="360" w:lineRule="auto"/>
        <w:rPr>
          <w:i/>
          <w:lang w:val="en-US"/>
        </w:rPr>
      </w:pPr>
      <w:r w:rsidRPr="001F0CFC">
        <w:rPr>
          <w:i/>
          <w:lang w:val="en-US"/>
        </w:rPr>
        <w:t>The simulation results</w:t>
      </w:r>
    </w:p>
    <w:p w:rsidR="00625587" w:rsidRPr="001F0CFC" w:rsidRDefault="00625587" w:rsidP="00E22B11">
      <w:pPr>
        <w:spacing w:line="360" w:lineRule="auto"/>
        <w:rPr>
          <w:i/>
          <w:lang w:val="en-US"/>
        </w:rPr>
      </w:pP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t>Deficits</w:t>
      </w:r>
      <w:r w:rsidR="00B740D9">
        <w:rPr>
          <w:i/>
        </w:rPr>
        <w:t xml:space="preserve"> of using ChatGPT</w:t>
      </w:r>
    </w:p>
    <w:p w:rsidR="00625587" w:rsidRPr="00625587" w:rsidRDefault="00625587" w:rsidP="00625587">
      <w:pPr>
        <w:pStyle w:val="ListParagraph"/>
        <w:numPr>
          <w:ilvl w:val="0"/>
          <w:numId w:val="5"/>
        </w:numPr>
        <w:spacing w:line="360" w:lineRule="auto"/>
      </w:pPr>
      <w:r>
        <w:t>Black box (but this does not only count for GPT this is often true for human screening as well)</w:t>
      </w:r>
    </w:p>
    <w:p w:rsidR="00C03E98" w:rsidRDefault="00C03E98" w:rsidP="00E22B11">
      <w:pPr>
        <w:spacing w:line="360" w:lineRule="auto"/>
        <w:rPr>
          <w:i/>
        </w:rPr>
      </w:pPr>
      <w:r>
        <w:rPr>
          <w:i/>
        </w:rPr>
        <w:t>Discu</w:t>
      </w:r>
      <w:r w:rsidR="00B270BF">
        <w:rPr>
          <w:i/>
        </w:rPr>
        <w:t>s</w:t>
      </w:r>
      <w:r>
        <w:rPr>
          <w:i/>
        </w:rPr>
        <w:t>sion</w:t>
      </w:r>
    </w:p>
    <w:p w:rsidR="00C03E98" w:rsidRPr="00C03E98" w:rsidRDefault="00C03E98" w:rsidP="00E22B11">
      <w:pPr>
        <w:pStyle w:val="ListParagraph"/>
        <w:numPr>
          <w:ilvl w:val="0"/>
          <w:numId w:val="1"/>
        </w:numPr>
        <w:spacing w:line="360" w:lineRule="auto"/>
        <w:rPr>
          <w:i/>
        </w:rPr>
      </w:pPr>
      <w:r>
        <w:rPr>
          <w:i/>
        </w:rPr>
        <w:t xml:space="preserve">Talk about interface here </w:t>
      </w:r>
    </w:p>
    <w:p w:rsidR="00A23F06" w:rsidRDefault="00A23F06" w:rsidP="00E22B11">
      <w:pPr>
        <w:spacing w:line="360" w:lineRule="auto"/>
      </w:pP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C77380" w:rsidRPr="00C77380" w:rsidRDefault="00A23F06" w:rsidP="00C77380">
      <w:pPr>
        <w:widowControl w:val="0"/>
        <w:autoSpaceDE w:val="0"/>
        <w:autoSpaceDN w:val="0"/>
        <w:adjustRightInd w:val="0"/>
        <w:spacing w:line="360" w:lineRule="auto"/>
        <w:ind w:left="640" w:hanging="64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C77380" w:rsidRPr="00C77380">
        <w:rPr>
          <w:rFonts w:cs="Times New Roman"/>
          <w:noProof/>
          <w:szCs w:val="24"/>
        </w:rPr>
        <w:t>1.</w:t>
      </w:r>
      <w:r w:rsidR="00C77380" w:rsidRPr="00C77380">
        <w:rPr>
          <w:rFonts w:cs="Times New Roman"/>
          <w:noProof/>
          <w:szCs w:val="24"/>
        </w:rPr>
        <w:tab/>
        <w:t xml:space="preserve">Waffenschmidt, S., Knelangen, M., Sieben, W., Bühn, S. &amp; Pieper, D. Single screening versus conventional double screening for study selection in systematic reviews: a methodological systematic review. </w:t>
      </w:r>
      <w:r w:rsidR="00C77380" w:rsidRPr="00C77380">
        <w:rPr>
          <w:rFonts w:cs="Times New Roman"/>
          <w:i/>
          <w:iCs/>
          <w:noProof/>
          <w:szCs w:val="24"/>
        </w:rPr>
        <w:t>BMC Med. Res. Methodol.</w:t>
      </w:r>
      <w:r w:rsidR="00C77380" w:rsidRPr="00C77380">
        <w:rPr>
          <w:rFonts w:cs="Times New Roman"/>
          <w:noProof/>
          <w:szCs w:val="24"/>
        </w:rPr>
        <w:t xml:space="preserve"> </w:t>
      </w:r>
      <w:r w:rsidR="00C77380" w:rsidRPr="00C77380">
        <w:rPr>
          <w:rFonts w:cs="Times New Roman"/>
          <w:b/>
          <w:bCs/>
          <w:noProof/>
          <w:szCs w:val="24"/>
        </w:rPr>
        <w:t>19</w:t>
      </w:r>
      <w:r w:rsidR="00C77380" w:rsidRPr="00C77380">
        <w:rPr>
          <w:rFonts w:cs="Times New Roman"/>
          <w:noProof/>
          <w:szCs w:val="24"/>
        </w:rPr>
        <w:t>, 132 (2019).</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2.</w:t>
      </w:r>
      <w:r w:rsidRPr="00C77380">
        <w:rPr>
          <w:rFonts w:cs="Times New Roman"/>
          <w:noProof/>
          <w:szCs w:val="24"/>
        </w:rPr>
        <w:tab/>
        <w:t xml:space="preserve">Gartlehner, G. </w:t>
      </w:r>
      <w:r w:rsidRPr="00C77380">
        <w:rPr>
          <w:rFonts w:cs="Times New Roman"/>
          <w:i/>
          <w:iCs/>
          <w:noProof/>
          <w:szCs w:val="24"/>
        </w:rPr>
        <w:t>et al.</w:t>
      </w:r>
      <w:r w:rsidRPr="00C77380">
        <w:rPr>
          <w:rFonts w:cs="Times New Roman"/>
          <w:noProof/>
          <w:szCs w:val="24"/>
        </w:rPr>
        <w:t xml:space="preserve"> Assessing the accuracy of machine-assisted abstract screening with DistillerAI: a user study. </w:t>
      </w:r>
      <w:r w:rsidRPr="00C77380">
        <w:rPr>
          <w:rFonts w:cs="Times New Roman"/>
          <w:i/>
          <w:iCs/>
          <w:noProof/>
          <w:szCs w:val="24"/>
        </w:rPr>
        <w:t>Syst. Rev.</w:t>
      </w:r>
      <w:r w:rsidRPr="00C77380">
        <w:rPr>
          <w:rFonts w:cs="Times New Roman"/>
          <w:noProof/>
          <w:szCs w:val="24"/>
        </w:rPr>
        <w:t xml:space="preserve"> </w:t>
      </w:r>
      <w:r w:rsidRPr="00C77380">
        <w:rPr>
          <w:rFonts w:cs="Times New Roman"/>
          <w:b/>
          <w:bCs/>
          <w:noProof/>
          <w:szCs w:val="24"/>
        </w:rPr>
        <w:t>8</w:t>
      </w:r>
      <w:r w:rsidRPr="00C77380">
        <w:rPr>
          <w:rFonts w:cs="Times New Roman"/>
          <w:noProof/>
          <w:szCs w:val="24"/>
        </w:rPr>
        <w:t>, 277 (2019).</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3.</w:t>
      </w:r>
      <w:r w:rsidRPr="00C77380">
        <w:rPr>
          <w:rFonts w:cs="Times New Roman"/>
          <w:noProof/>
          <w:szCs w:val="24"/>
        </w:rPr>
        <w:tab/>
        <w:t xml:space="preserve">Syriani, E., David, I. &amp; Kumar, G. Assessing the Ability of ChatGPT to Screen Articles for Systematic Reviews. </w:t>
      </w:r>
      <w:r w:rsidRPr="00C77380">
        <w:rPr>
          <w:rFonts w:cs="Times New Roman"/>
          <w:i/>
          <w:iCs/>
          <w:noProof/>
          <w:szCs w:val="24"/>
        </w:rPr>
        <w:t>arXiv Prepr. arXiv2307.06464</w:t>
      </w:r>
      <w:r w:rsidRPr="00C77380">
        <w:rPr>
          <w:rFonts w:cs="Times New Roman"/>
          <w:noProof/>
          <w:szCs w:val="24"/>
        </w:rPr>
        <w:t xml:space="preserve"> (2023).</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4.</w:t>
      </w:r>
      <w:r w:rsidRPr="00C77380">
        <w:rPr>
          <w:rFonts w:cs="Times New Roman"/>
          <w:noProof/>
          <w:szCs w:val="24"/>
        </w:rPr>
        <w:tab/>
        <w:t xml:space="preserve">Dietrichson, J. </w:t>
      </w:r>
      <w:r w:rsidRPr="00C77380">
        <w:rPr>
          <w:rFonts w:cs="Times New Roman"/>
          <w:i/>
          <w:iCs/>
          <w:noProof/>
          <w:szCs w:val="24"/>
        </w:rPr>
        <w:t>et al.</w:t>
      </w:r>
      <w:r w:rsidRPr="00C77380">
        <w:rPr>
          <w:rFonts w:cs="Times New Roman"/>
          <w:noProof/>
          <w:szCs w:val="24"/>
        </w:rPr>
        <w:t xml:space="preserve"> Targeted school-based interventions for improving reading and mathematics for students with, or at risk of, academic difficulties in Grades 7–12: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16</w:t>
      </w:r>
      <w:r w:rsidRPr="00C77380">
        <w:rPr>
          <w:rFonts w:cs="Times New Roman"/>
          <w:noProof/>
          <w:szCs w:val="24"/>
        </w:rPr>
        <w:t>, e1081 (2020).</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5.</w:t>
      </w:r>
      <w:r w:rsidRPr="00C77380">
        <w:rPr>
          <w:rFonts w:cs="Times New Roman"/>
          <w:noProof/>
          <w:szCs w:val="24"/>
        </w:rPr>
        <w:tab/>
        <w:t xml:space="preserve">Dietrichson, J. </w:t>
      </w:r>
      <w:r w:rsidRPr="00C77380">
        <w:rPr>
          <w:rFonts w:cs="Times New Roman"/>
          <w:i/>
          <w:iCs/>
          <w:noProof/>
          <w:szCs w:val="24"/>
        </w:rPr>
        <w:t>et al.</w:t>
      </w:r>
      <w:r w:rsidRPr="00C77380">
        <w:rPr>
          <w:rFonts w:cs="Times New Roman"/>
          <w:noProof/>
          <w:szCs w:val="24"/>
        </w:rPr>
        <w:t xml:space="preserve"> Targeted school-based interventions for improving reading and mathematics for students with or at risk of academic difficulties in Grades K-6: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17</w:t>
      </w:r>
      <w:r w:rsidRPr="00C77380">
        <w:rPr>
          <w:rFonts w:cs="Times New Roman"/>
          <w:noProof/>
          <w:szCs w:val="24"/>
        </w:rPr>
        <w:t>, e1152 (2021).</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6.</w:t>
      </w:r>
      <w:r w:rsidRPr="00C77380">
        <w:rPr>
          <w:rFonts w:cs="Times New Roman"/>
          <w:noProof/>
          <w:szCs w:val="24"/>
        </w:rPr>
        <w:tab/>
        <w:t xml:space="preserve">Filges, T. The FRIENDS preventive programme for reducing anxiety symptoms in children and adolescents: A systematic review. </w:t>
      </w:r>
      <w:r w:rsidRPr="00C77380">
        <w:rPr>
          <w:rFonts w:cs="Times New Roman"/>
          <w:i/>
          <w:iCs/>
          <w:noProof/>
          <w:szCs w:val="24"/>
        </w:rPr>
        <w:t>Campbell Syst. Rev.</w:t>
      </w:r>
      <w:r w:rsidRPr="00C77380">
        <w:rPr>
          <w:rFonts w:cs="Times New Roman"/>
          <w:noProof/>
          <w:szCs w:val="24"/>
        </w:rPr>
        <w:t xml:space="preserve"> (2023).</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7.</w:t>
      </w:r>
      <w:r w:rsidRPr="00C77380">
        <w:rPr>
          <w:rFonts w:cs="Times New Roman"/>
          <w:noProof/>
          <w:szCs w:val="24"/>
        </w:rPr>
        <w:tab/>
        <w:t xml:space="preserve">Dalgaard, N. T., Bondebjerg, A., Viinholt, B. C. A. &amp; Filges, T. The effects of inclusion on academic achievement, socioemotional development and wellbeing of children with special educational needs.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e1291 (2022).</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8.</w:t>
      </w:r>
      <w:r w:rsidRPr="00C77380">
        <w:rPr>
          <w:rFonts w:cs="Times New Roman"/>
          <w:noProof/>
          <w:szCs w:val="24"/>
        </w:rPr>
        <w:tab/>
        <w:t xml:space="preserve">Filges, T., Dalgaard, N. T. &amp; Viinholt, B. C. A. Outreach programs to improve life circumstances and prevent further adverse developmental trajectories of at-risk youth in OECD countries: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e1282 (2022).</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9.</w:t>
      </w:r>
      <w:r w:rsidRPr="00C77380">
        <w:rPr>
          <w:rFonts w:cs="Times New Roman"/>
          <w:noProof/>
          <w:szCs w:val="24"/>
        </w:rPr>
        <w:tab/>
        <w:t xml:space="preserve">Filges, T., Dietrichson, J., Viinholt, B. C. A. &amp; Dalgaard, N. T. Service learning for improving academic success in students in grade K to 12: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e1210 (2022).</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10.</w:t>
      </w:r>
      <w:r w:rsidRPr="00C77380">
        <w:rPr>
          <w:rFonts w:cs="Times New Roman"/>
          <w:noProof/>
          <w:szCs w:val="24"/>
        </w:rPr>
        <w:tab/>
        <w:t xml:space="preserve">Filges, T., Verner, M., Ladekjær, E. &amp; Bengtsen, E. PROTOCOL: Participation in organised sport to improve and prevent adverse developmental trajectories of at-risk youth: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19</w:t>
      </w:r>
      <w:r w:rsidRPr="00C77380">
        <w:rPr>
          <w:rFonts w:cs="Times New Roman"/>
          <w:noProof/>
          <w:szCs w:val="24"/>
        </w:rPr>
        <w:t>, e1321 (2023).</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lastRenderedPageBreak/>
        <w:t>11.</w:t>
      </w:r>
      <w:r w:rsidRPr="00C77380">
        <w:rPr>
          <w:rFonts w:cs="Times New Roman"/>
          <w:noProof/>
          <w:szCs w:val="24"/>
        </w:rPr>
        <w:tab/>
        <w:t xml:space="preserve">Bondebjerg, A., Dalgaard, N. T., Filges, T. &amp; Viinholt, B. C. A. The effects of small class sizes on students’ academic achievement, socioemotional development and well‐being in special education: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19</w:t>
      </w:r>
      <w:r w:rsidRPr="00C77380">
        <w:rPr>
          <w:rFonts w:cs="Times New Roman"/>
          <w:noProof/>
          <w:szCs w:val="24"/>
        </w:rPr>
        <w:t>, e1345 (2023).</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12.</w:t>
      </w:r>
      <w:r w:rsidRPr="00C77380">
        <w:rPr>
          <w:rFonts w:cs="Times New Roman"/>
          <w:noProof/>
          <w:szCs w:val="24"/>
        </w:rPr>
        <w:tab/>
        <w:t xml:space="preserve">Dalgaard, N. T., Bondebjerg, A., Klokker, R., Viinholt, B. C. A. &amp; Dietrichson, J. Adult/child ratio and group size in early childhood education or care to promote the development of children aged 0–5 years: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e1239 (2022).</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13.</w:t>
      </w:r>
      <w:r w:rsidRPr="00C77380">
        <w:rPr>
          <w:rFonts w:cs="Times New Roman"/>
          <w:noProof/>
          <w:szCs w:val="24"/>
        </w:rPr>
        <w:tab/>
        <w:t xml:space="preserve">Dalgaard, N. T., Flensborg Jensen, M. C., Bengtsen, E., Krassel, K. F. &amp; Vembye, M. H. PROTOCOL: Group‐based community interventions to support the social reintegration of marginalised adults with mental illness.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e1254 (2022).</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14.</w:t>
      </w:r>
      <w:r w:rsidRPr="00C77380">
        <w:rPr>
          <w:rFonts w:cs="Times New Roman"/>
          <w:noProof/>
          <w:szCs w:val="24"/>
        </w:rPr>
        <w:tab/>
        <w:t xml:space="preserve">Filges, T., Sonne‐Schmidt, C. S. &amp; Nielsen, B. C. V. Small class sizes for improving student achievement in primary and secondary schools: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14</w:t>
      </w:r>
      <w:r w:rsidRPr="00C77380">
        <w:rPr>
          <w:rFonts w:cs="Times New Roman"/>
          <w:noProof/>
          <w:szCs w:val="24"/>
        </w:rPr>
        <w:t>, 1–107 (2018).</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15.</w:t>
      </w:r>
      <w:r w:rsidRPr="00C77380">
        <w:rPr>
          <w:rFonts w:cs="Times New Roman"/>
          <w:noProof/>
          <w:szCs w:val="24"/>
        </w:rPr>
        <w:tab/>
        <w:t xml:space="preserve">Filges, T., Siren, A., Fridberg, T. &amp; Nielsen, B. C. V. Voluntary work for the physical and mental health of older volunteers: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16</w:t>
      </w:r>
      <w:r w:rsidRPr="00C77380">
        <w:rPr>
          <w:rFonts w:cs="Times New Roman"/>
          <w:noProof/>
          <w:szCs w:val="24"/>
        </w:rPr>
        <w:t>, e1124 (2020).</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16.</w:t>
      </w:r>
      <w:r w:rsidRPr="00C77380">
        <w:rPr>
          <w:rFonts w:cs="Times New Roman"/>
          <w:noProof/>
          <w:szCs w:val="24"/>
        </w:rPr>
        <w:tab/>
        <w:t xml:space="preserve">Filges, T., Montgomery, E., Kastrup, M. &amp; Jørgensen, A.-M. K. The Impact of Detention on the Health of Asylum Seekers: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11</w:t>
      </w:r>
      <w:r w:rsidRPr="00C77380">
        <w:rPr>
          <w:rFonts w:cs="Times New Roman"/>
          <w:noProof/>
          <w:szCs w:val="24"/>
        </w:rPr>
        <w:t>, 1–104 (2015).</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17.</w:t>
      </w:r>
      <w:r w:rsidRPr="00C77380">
        <w:rPr>
          <w:rFonts w:cs="Times New Roman"/>
          <w:noProof/>
          <w:szCs w:val="24"/>
        </w:rPr>
        <w:tab/>
        <w:t xml:space="preserve">Bøg, M., Filges, T. &amp; Jørgensen, A. M. K. Deployment of personnel to military operations: impact on mental health and social functioning.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14</w:t>
      </w:r>
      <w:r w:rsidRPr="00C77380">
        <w:rPr>
          <w:rFonts w:cs="Times New Roman"/>
          <w:noProof/>
          <w:szCs w:val="24"/>
        </w:rPr>
        <w:t>, 1–127 (2018).</w:t>
      </w:r>
    </w:p>
    <w:p w:rsidR="00C77380" w:rsidRPr="00C77380" w:rsidRDefault="00C77380" w:rsidP="00C77380">
      <w:pPr>
        <w:widowControl w:val="0"/>
        <w:autoSpaceDE w:val="0"/>
        <w:autoSpaceDN w:val="0"/>
        <w:adjustRightInd w:val="0"/>
        <w:spacing w:line="360" w:lineRule="auto"/>
        <w:ind w:left="640" w:hanging="640"/>
        <w:rPr>
          <w:rFonts w:cs="Times New Roman"/>
          <w:noProof/>
          <w:szCs w:val="24"/>
        </w:rPr>
      </w:pPr>
      <w:r w:rsidRPr="00C77380">
        <w:rPr>
          <w:rFonts w:cs="Times New Roman"/>
          <w:noProof/>
          <w:szCs w:val="24"/>
        </w:rPr>
        <w:t>18.</w:t>
      </w:r>
      <w:r w:rsidRPr="00C77380">
        <w:rPr>
          <w:rFonts w:cs="Times New Roman"/>
          <w:noProof/>
          <w:szCs w:val="24"/>
        </w:rPr>
        <w:tab/>
        <w:t xml:space="preserve">Filges, T. </w:t>
      </w:r>
      <w:r w:rsidRPr="00C77380">
        <w:rPr>
          <w:rFonts w:cs="Times New Roman"/>
          <w:i/>
          <w:iCs/>
          <w:noProof/>
          <w:szCs w:val="24"/>
        </w:rPr>
        <w:t>et al.</w:t>
      </w:r>
      <w:r w:rsidRPr="00C77380">
        <w:rPr>
          <w:rFonts w:cs="Times New Roman"/>
          <w:noProof/>
          <w:szCs w:val="24"/>
        </w:rPr>
        <w:t xml:space="preserve"> Effectiveness of continuing professional development training of welfare professionals on outcomes for children and young people: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15</w:t>
      </w:r>
      <w:r w:rsidRPr="00C77380">
        <w:rPr>
          <w:rFonts w:cs="Times New Roman"/>
          <w:noProof/>
          <w:szCs w:val="24"/>
        </w:rPr>
        <w:t>, e1060 (2019).</w:t>
      </w:r>
    </w:p>
    <w:p w:rsidR="00C77380" w:rsidRPr="00C77380" w:rsidRDefault="00C77380" w:rsidP="00C77380">
      <w:pPr>
        <w:widowControl w:val="0"/>
        <w:autoSpaceDE w:val="0"/>
        <w:autoSpaceDN w:val="0"/>
        <w:adjustRightInd w:val="0"/>
        <w:spacing w:line="360" w:lineRule="auto"/>
        <w:ind w:left="640" w:hanging="640"/>
        <w:rPr>
          <w:rFonts w:cs="Times New Roman"/>
          <w:noProof/>
        </w:rPr>
      </w:pPr>
      <w:r w:rsidRPr="00C77380">
        <w:rPr>
          <w:rFonts w:cs="Times New Roman"/>
          <w:noProof/>
          <w:szCs w:val="24"/>
        </w:rPr>
        <w:t>19.</w:t>
      </w:r>
      <w:r w:rsidRPr="00C77380">
        <w:rPr>
          <w:rFonts w:cs="Times New Roman"/>
          <w:noProof/>
          <w:szCs w:val="24"/>
        </w:rPr>
        <w:tab/>
        <w:t xml:space="preserve">Dalgaard, N. T., Filges, T., Viinholt, B. C. A. &amp; Pontoppidan, M. Parenting interventions to support parent/child attachment and psychosocial adjustment in foster and adoptive parents and children: A systematic review. </w:t>
      </w:r>
      <w:r w:rsidRPr="00C77380">
        <w:rPr>
          <w:rFonts w:cs="Times New Roman"/>
          <w:i/>
          <w:iCs/>
          <w:noProof/>
          <w:szCs w:val="24"/>
        </w:rPr>
        <w:t>Campbell Syst. Rev.</w:t>
      </w:r>
      <w:r w:rsidRPr="00C77380">
        <w:rPr>
          <w:rFonts w:cs="Times New Roman"/>
          <w:noProof/>
          <w:szCs w:val="24"/>
        </w:rPr>
        <w:t xml:space="preserve"> </w:t>
      </w:r>
      <w:r w:rsidRPr="00C77380">
        <w:rPr>
          <w:rFonts w:cs="Times New Roman"/>
          <w:b/>
          <w:bCs/>
          <w:noProof/>
          <w:szCs w:val="24"/>
        </w:rPr>
        <w:t>18</w:t>
      </w:r>
      <w:r w:rsidRPr="00C77380">
        <w:rPr>
          <w:rFonts w:cs="Times New Roman"/>
          <w:noProof/>
          <w:szCs w:val="24"/>
        </w:rPr>
        <w:t>, e1209 (2022).</w:t>
      </w:r>
    </w:p>
    <w:p w:rsidR="00A23F06" w:rsidRDefault="00A23F06" w:rsidP="00E22B11">
      <w:pPr>
        <w:spacing w:line="360" w:lineRule="auto"/>
      </w:pPr>
      <w:r>
        <w:fldChar w:fldCharType="end"/>
      </w:r>
    </w:p>
    <w:sectPr w:rsidR="00A23F06">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12C" w:rsidRDefault="00AD612C" w:rsidP="00E22B11">
      <w:pPr>
        <w:spacing w:after="0" w:line="240" w:lineRule="auto"/>
      </w:pPr>
      <w:r>
        <w:separator/>
      </w:r>
    </w:p>
  </w:endnote>
  <w:endnote w:type="continuationSeparator" w:id="0">
    <w:p w:rsidR="00AD612C" w:rsidRDefault="00AD612C"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12C" w:rsidRDefault="00AD612C" w:rsidP="00E22B11">
      <w:pPr>
        <w:spacing w:after="0" w:line="240" w:lineRule="auto"/>
      </w:pPr>
      <w:r>
        <w:separator/>
      </w:r>
    </w:p>
  </w:footnote>
  <w:footnote w:type="continuationSeparator" w:id="0">
    <w:p w:rsidR="00AD612C" w:rsidRDefault="00AD612C"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mwrAUAfLXdDywAAAA="/>
  </w:docVars>
  <w:rsids>
    <w:rsidRoot w:val="00A23F06"/>
    <w:rsid w:val="00024398"/>
    <w:rsid w:val="0008295A"/>
    <w:rsid w:val="000F56A9"/>
    <w:rsid w:val="00145A2B"/>
    <w:rsid w:val="00173371"/>
    <w:rsid w:val="001F0CFC"/>
    <w:rsid w:val="002C730A"/>
    <w:rsid w:val="002D264A"/>
    <w:rsid w:val="00303077"/>
    <w:rsid w:val="00323F25"/>
    <w:rsid w:val="00377405"/>
    <w:rsid w:val="00382F5D"/>
    <w:rsid w:val="00456430"/>
    <w:rsid w:val="005322D3"/>
    <w:rsid w:val="00540D17"/>
    <w:rsid w:val="00570E6D"/>
    <w:rsid w:val="005C61C0"/>
    <w:rsid w:val="006156B4"/>
    <w:rsid w:val="00625587"/>
    <w:rsid w:val="006A5825"/>
    <w:rsid w:val="006E7DA1"/>
    <w:rsid w:val="00734ACC"/>
    <w:rsid w:val="00747C76"/>
    <w:rsid w:val="00793B6A"/>
    <w:rsid w:val="00807874"/>
    <w:rsid w:val="00890ED0"/>
    <w:rsid w:val="008B330E"/>
    <w:rsid w:val="008C7FAA"/>
    <w:rsid w:val="009125FA"/>
    <w:rsid w:val="009867F7"/>
    <w:rsid w:val="00A23F06"/>
    <w:rsid w:val="00A473E7"/>
    <w:rsid w:val="00AD612C"/>
    <w:rsid w:val="00B270BF"/>
    <w:rsid w:val="00B740D9"/>
    <w:rsid w:val="00BF0C53"/>
    <w:rsid w:val="00C03E98"/>
    <w:rsid w:val="00C12283"/>
    <w:rsid w:val="00C1782D"/>
    <w:rsid w:val="00C77380"/>
    <w:rsid w:val="00CD1813"/>
    <w:rsid w:val="00DB0C82"/>
    <w:rsid w:val="00DD5C6C"/>
    <w:rsid w:val="00DD7881"/>
    <w:rsid w:val="00E22B11"/>
    <w:rsid w:val="00F10888"/>
    <w:rsid w:val="00F85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F050E"/>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penai.com/blog/function-calling-and-other-api-update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6717-570B-4E42-BE27-3EC64171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8707</Words>
  <Characters>48586</Characters>
  <Application>Microsoft Office Word</Application>
  <DocSecurity>0</DocSecurity>
  <Lines>991</Lines>
  <Paragraphs>498</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56795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54</cp:revision>
  <dcterms:created xsi:type="dcterms:W3CDTF">2023-11-14T09:26:00Z</dcterms:created>
  <dcterms:modified xsi:type="dcterms:W3CDTF">2023-12-01T15:02:00Z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