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 задачи: исследовать методами машинного обучения программы политических партий России.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Данные представляют собой текста, размещенные на сайтах партий, либо на веб-страницах, либо в форматах pdf и docx. Данные берутся с сайтов партий.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Всего 30 партий.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Провести сбор данных с сайтов партий в текстовый формат (.txt).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Разметить партии по попаданию/нет в Госдуму.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Провести токенизацию, удалить стоп-слова, выделить основные слова с помощью меры TF-IDF, провести кластеризацию (например, с помощью метода K-means).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Посмотреть пересечения множеств слов у различных партий, построить облака слов для различных политических течений.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сферы, в которых партии, согласно их программам, собираются проводить политику.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Построить классификатор для определения попадания партии в госдуму по программе партии.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Возможно используемые методы классификации: градиентный бустинг, наивный баес, нейронные сети, деревья решений.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Оценка точности. Оценку точности классификации делать с помощью тестового и тренировочного набора, а также кросс-валидации. Для построенных классификаторов строить confusion matrix и считать по ней разные значения, характеризующие качество созданных моделей классификации.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Литература: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https://www.researchgate.net/profile/Dharminder-Yadav/publication/342348549_POLITICAL_SENTIMENT_ANALYSIS_ON_DELHI_USING_MACHINE_LEARNING/links/5ef06b3c92851ce9e7faeab6/POLITICAL-SENTIMENT-ANALYSIS-ON-DELHI-USING-MACHINE-LEARNING.pdf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Новизна: автоматическая классификации программ политических партий.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Планы на будущее: использование программ партий других стран.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rofile/Dharminder-Yadav/publication/342348549_POLITICAL_SENTIMENT_ANALYSIS_ON_DELHI_USING_MACHINE_LEARNING/links/5ef06b3c92851ce9e7faeab6/POLITICAL-SENTIMENT-ANALYSIS-ON-DELHI-USING-MACHINE-LEARN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