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AS4113 Section 5.2.1.2 Test Case Verification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Message Type</w:t>
            </w:r>
          </w:p>
        </w:tc>
        <w:tc>
          <w:tcPr>
            <w:tcW w:type="dxa" w:w="2160"/>
          </w:tcPr>
          <w:p>
            <w:r>
              <w:t>Verification Points</w:t>
            </w:r>
          </w:p>
        </w:tc>
      </w:tr>
      <w:tr>
        <w:tc>
          <w:tcPr>
            <w:tcW w:type="dxa" w:w="2160"/>
          </w:tcPr>
          <w:p>
            <w:r>
              <w:t>RT-001</w:t>
            </w:r>
          </w:p>
        </w:tc>
        <w:tc>
          <w:tcPr>
            <w:tcW w:type="dxa" w:w="2160"/>
          </w:tcPr>
          <w:p>
            <w:r>
              <w:t>RT accepts and stores BC-to-RT data word</w:t>
            </w:r>
          </w:p>
        </w:tc>
        <w:tc>
          <w:tcPr>
            <w:tcW w:type="dxa" w:w="2160"/>
          </w:tcPr>
          <w:p>
            <w:r>
              <w:t>BC to RT</w:t>
            </w:r>
          </w:p>
        </w:tc>
        <w:tc>
          <w:tcPr>
            <w:tcW w:type="dxa" w:w="2160"/>
          </w:tcPr>
          <w:p>
            <w:r>
              <w:t>RT correctly receives 1 data word and stores it in internal buffer</w:t>
            </w:r>
          </w:p>
        </w:tc>
      </w:tr>
      <w:tr>
        <w:tc>
          <w:tcPr>
            <w:tcW w:type="dxa" w:w="2160"/>
          </w:tcPr>
          <w:p>
            <w:r>
              <w:t>RT-002</w:t>
            </w:r>
          </w:p>
        </w:tc>
        <w:tc>
          <w:tcPr>
            <w:tcW w:type="dxa" w:w="2160"/>
          </w:tcPr>
          <w:p>
            <w:r>
              <w:t>RT accepts multiple data words</w:t>
            </w:r>
          </w:p>
        </w:tc>
        <w:tc>
          <w:tcPr>
            <w:tcW w:type="dxa" w:w="2160"/>
          </w:tcPr>
          <w:p>
            <w:r>
              <w:t>BC to RT</w:t>
            </w:r>
          </w:p>
        </w:tc>
        <w:tc>
          <w:tcPr>
            <w:tcW w:type="dxa" w:w="2160"/>
          </w:tcPr>
          <w:p>
            <w:r>
              <w:t>RT receives multiple data words, respects word count, and stores them sequentially</w:t>
            </w:r>
          </w:p>
        </w:tc>
      </w:tr>
      <w:tr>
        <w:tc>
          <w:tcPr>
            <w:tcW w:type="dxa" w:w="2160"/>
          </w:tcPr>
          <w:p>
            <w:r>
              <w:t>RT-003</w:t>
            </w:r>
          </w:p>
        </w:tc>
        <w:tc>
          <w:tcPr>
            <w:tcW w:type="dxa" w:w="2160"/>
          </w:tcPr>
          <w:p>
            <w:r>
              <w:t>RT transmits 1 data word to BC</w:t>
            </w:r>
          </w:p>
        </w:tc>
        <w:tc>
          <w:tcPr>
            <w:tcW w:type="dxa" w:w="2160"/>
          </w:tcPr>
          <w:p>
            <w:r>
              <w:t>RT to BC</w:t>
            </w:r>
          </w:p>
        </w:tc>
        <w:tc>
          <w:tcPr>
            <w:tcW w:type="dxa" w:w="2160"/>
          </w:tcPr>
          <w:p>
            <w:r>
              <w:t>RT sends correct data word in response to BC command</w:t>
            </w:r>
          </w:p>
        </w:tc>
      </w:tr>
      <w:tr>
        <w:tc>
          <w:tcPr>
            <w:tcW w:type="dxa" w:w="2160"/>
          </w:tcPr>
          <w:p>
            <w:r>
              <w:t>RT-004</w:t>
            </w:r>
          </w:p>
        </w:tc>
        <w:tc>
          <w:tcPr>
            <w:tcW w:type="dxa" w:w="2160"/>
          </w:tcPr>
          <w:p>
            <w:r>
              <w:t>RT transmits multiple data words</w:t>
            </w:r>
          </w:p>
        </w:tc>
        <w:tc>
          <w:tcPr>
            <w:tcW w:type="dxa" w:w="2160"/>
          </w:tcPr>
          <w:p>
            <w:r>
              <w:t>RT to BC</w:t>
            </w:r>
          </w:p>
        </w:tc>
        <w:tc>
          <w:tcPr>
            <w:tcW w:type="dxa" w:w="2160"/>
          </w:tcPr>
          <w:p>
            <w:r>
              <w:t>RT sends all requested data words correctly and in proper timing</w:t>
            </w:r>
          </w:p>
        </w:tc>
      </w:tr>
      <w:tr>
        <w:tc>
          <w:tcPr>
            <w:tcW w:type="dxa" w:w="2160"/>
          </w:tcPr>
          <w:p>
            <w:r>
              <w:t>RT-005</w:t>
            </w:r>
          </w:p>
        </w:tc>
        <w:tc>
          <w:tcPr>
            <w:tcW w:type="dxa" w:w="2160"/>
          </w:tcPr>
          <w:p>
            <w:r>
              <w:t>RT processes valid mode code (no data)</w:t>
            </w:r>
          </w:p>
        </w:tc>
        <w:tc>
          <w:tcPr>
            <w:tcW w:type="dxa" w:w="2160"/>
          </w:tcPr>
          <w:p>
            <w:r>
              <w:t>Mode Code</w:t>
            </w:r>
          </w:p>
        </w:tc>
        <w:tc>
          <w:tcPr>
            <w:tcW w:type="dxa" w:w="2160"/>
          </w:tcPr>
          <w:p>
            <w:r>
              <w:t>RT responds with status word; performs internal action (e.g., reset)</w:t>
            </w:r>
          </w:p>
        </w:tc>
      </w:tr>
      <w:tr>
        <w:tc>
          <w:tcPr>
            <w:tcW w:type="dxa" w:w="2160"/>
          </w:tcPr>
          <w:p>
            <w:r>
              <w:t>RT-006</w:t>
            </w:r>
          </w:p>
        </w:tc>
        <w:tc>
          <w:tcPr>
            <w:tcW w:type="dxa" w:w="2160"/>
          </w:tcPr>
          <w:p>
            <w:r>
              <w:t>RT processes valid mode code (with 1 data word)</w:t>
            </w:r>
          </w:p>
        </w:tc>
        <w:tc>
          <w:tcPr>
            <w:tcW w:type="dxa" w:w="2160"/>
          </w:tcPr>
          <w:p>
            <w:r>
              <w:t>Mode Code</w:t>
            </w:r>
          </w:p>
        </w:tc>
        <w:tc>
          <w:tcPr>
            <w:tcW w:type="dxa" w:w="2160"/>
          </w:tcPr>
          <w:p>
            <w:r>
              <w:t>RT receives or transmits data and responds with status word</w:t>
            </w:r>
          </w:p>
        </w:tc>
      </w:tr>
      <w:tr>
        <w:tc>
          <w:tcPr>
            <w:tcW w:type="dxa" w:w="2160"/>
          </w:tcPr>
          <w:p>
            <w:r>
              <w:t>RT-007</w:t>
            </w:r>
          </w:p>
        </w:tc>
        <w:tc>
          <w:tcPr>
            <w:tcW w:type="dxa" w:w="2160"/>
          </w:tcPr>
          <w:p>
            <w:r>
              <w:t>RT ignores message addressed to another RT</w:t>
            </w:r>
          </w:p>
        </w:tc>
        <w:tc>
          <w:tcPr>
            <w:tcW w:type="dxa" w:w="2160"/>
          </w:tcPr>
          <w:p>
            <w:r>
              <w:t>Address Filtering</w:t>
            </w:r>
          </w:p>
        </w:tc>
        <w:tc>
          <w:tcPr>
            <w:tcW w:type="dxa" w:w="2160"/>
          </w:tcPr>
          <w:p>
            <w:r>
              <w:t>RT remains silent when not addressed</w:t>
            </w:r>
          </w:p>
        </w:tc>
      </w:tr>
      <w:tr>
        <w:tc>
          <w:tcPr>
            <w:tcW w:type="dxa" w:w="2160"/>
          </w:tcPr>
          <w:p>
            <w:r>
              <w:t>RT-008</w:t>
            </w:r>
          </w:p>
        </w:tc>
        <w:tc>
          <w:tcPr>
            <w:tcW w:type="dxa" w:w="2160"/>
          </w:tcPr>
          <w:p>
            <w:r>
              <w:t>RT handles broadcast message correctly</w:t>
            </w:r>
          </w:p>
        </w:tc>
        <w:tc>
          <w:tcPr>
            <w:tcW w:type="dxa" w:w="2160"/>
          </w:tcPr>
          <w:p>
            <w:r>
              <w:t>Broadcast</w:t>
            </w:r>
          </w:p>
        </w:tc>
        <w:tc>
          <w:tcPr>
            <w:tcW w:type="dxa" w:w="2160"/>
          </w:tcPr>
          <w:p>
            <w:r>
              <w:t>RT accepts data without responding as per MIL-STD-1553 rules</w:t>
            </w:r>
          </w:p>
        </w:tc>
      </w:tr>
      <w:tr>
        <w:tc>
          <w:tcPr>
            <w:tcW w:type="dxa" w:w="2160"/>
          </w:tcPr>
          <w:p>
            <w:r>
              <w:t>RT-009</w:t>
            </w:r>
          </w:p>
        </w:tc>
        <w:tc>
          <w:tcPr>
            <w:tcW w:type="dxa" w:w="2160"/>
          </w:tcPr>
          <w:p>
            <w:r>
              <w:t>RT checks command parity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RT detects parity error in command word and does not respond</w:t>
            </w:r>
          </w:p>
        </w:tc>
      </w:tr>
      <w:tr>
        <w:tc>
          <w:tcPr>
            <w:tcW w:type="dxa" w:w="2160"/>
          </w:tcPr>
          <w:p>
            <w:r>
              <w:t>RT-010</w:t>
            </w:r>
          </w:p>
        </w:tc>
        <w:tc>
          <w:tcPr>
            <w:tcW w:type="dxa" w:w="2160"/>
          </w:tcPr>
          <w:p>
            <w:r>
              <w:t>RT checks word count overflow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RT detects excess data word transmission and flags error (if implemented)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