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Structured Verification Procedures for AS4113 Section 5.2.1.1</w:t>
      </w:r>
    </w:p>
    <w:p>
      <w:pPr>
        <w:pStyle w:val="Heading2"/>
      </w:pPr>
      <w:r>
        <w:t>BC-001 – Verify BC can request 1 data word from 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BC-001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BC can request 1 data word from RT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RT to BC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BC-002 – Verify BC can request multiple data words from 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BC-002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BC can request multiple data words from RT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RT to BC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BC-003 – Verify BC can transmit 1 data word to 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BC-003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BC can transmit 1 data word to RT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BC to RT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BC-004 – Verify BC can transmit multiple data words to 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BC-004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BC can transmit multiple data words to RT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BC to RT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BC-005 – Verify BC can conduct RT-to-RT 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BC-005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BC can conduct RT-to-RT transfer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RT to RT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BC-006 – Send mode code without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BC-006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Send mode code without data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Mode Code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BC-007 – Send mode code with one data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BC-007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Send mode code with one data word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Mode Code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BC-008 – Broadcast transmission of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BC-008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Broadcast transmission of data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Broadcast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BC-009 – Broadcast mode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BC-009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Broadcast mode code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Broadcast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BC-010 – Send command with word count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BC-010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Send command with word count 0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Edge Case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BC-011 – Send command with maximum word count (32)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BC-011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Send command with maximum word count (32)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Edge Case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BC-012 – Send command to non-existent 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BC-012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Send command to non-existent RT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BC-013 – No response from 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BC-013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No response from RT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BC-014 – RT responds too early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BC-014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responds too early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Timing Error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BC-015 – RT responds too 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BC-015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responds too late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Timing Error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BC-016 – RT responds with incorrect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BC-016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responds with incorrect status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BC-017 – RT responds with parity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BC-017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responds with parity error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BC-018 – RT sends unexpected word count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BC-018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RT sends unexpected word count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Error Handling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BC-019 – Verify inter-word and inter-message gap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BC-019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Verify inter-word and inter-message gap timing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Protocol Timing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p>
      <w:pPr>
        <w:pStyle w:val="Heading2"/>
      </w:pPr>
      <w:r>
        <w:t>BC-020 – Sync pattern is corrupted mid-transfer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 ID</w:t>
            </w:r>
          </w:p>
        </w:tc>
        <w:tc>
          <w:tcPr>
            <w:tcW w:type="dxa" w:w="4320"/>
          </w:tcPr>
          <w:p>
            <w:r>
              <w:t>BC-020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Sync pattern is corrupted mid-transfer</w:t>
            </w:r>
          </w:p>
        </w:tc>
      </w:tr>
      <w:tr>
        <w:tc>
          <w:tcPr>
            <w:tcW w:type="dxa" w:w="4320"/>
          </w:tcPr>
          <w:p>
            <w:r>
              <w:t>Message Type</w:t>
            </w:r>
          </w:p>
        </w:tc>
        <w:tc>
          <w:tcPr>
            <w:tcW w:type="dxa" w:w="4320"/>
          </w:tcPr>
          <w:p>
            <w:r>
              <w:t>Fault Injection</w:t>
            </w:r>
          </w:p>
        </w:tc>
      </w:tr>
      <w:tr>
        <w:tc>
          <w:tcPr>
            <w:tcW w:type="dxa" w:w="4320"/>
          </w:tcPr>
          <w:p>
            <w:r>
              <w:t>Preconditions</w:t>
            </w:r>
          </w:p>
        </w:tc>
        <w:tc>
          <w:tcPr>
            <w:tcW w:type="dxa" w:w="4320"/>
          </w:tcPr>
          <w:p>
            <w:r>
              <w:t>RT and BC cores initialized and clocked; simulation testbench is active.</w:t>
            </w:r>
          </w:p>
        </w:tc>
      </w:tr>
      <w:tr>
        <w:tc>
          <w:tcPr>
            <w:tcW w:type="dxa" w:w="4320"/>
          </w:tcPr>
          <w:p>
            <w:r>
              <w:t>Inputs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Outputs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Pass Criteria: System behaves as described in "Expected Outputs" with no protocol violations or simulation errors.</w:t>
      </w:r>
    </w:p>
    <w:p>
      <w:r>
        <w:t>Error Injection: None unless otherwise stated.</w:t>
      </w:r>
    </w:p>
    <w:p>
      <w:r>
        <w:t>Verification Method: OSVVM-based automated testbench and waveform trace.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