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60"/>
        <w:jc w:val="center"/>
        <w:shd w:val="clear" w:color="auto" w:fill="0B3D5C"/>
        <w:spacing w:before="60" w:after="60" w:left="160" w:right="160"/>
      </w:pPr>
      <w:r>
        <w:rPr>
          <w:b/>
          <w:i w:val="0"/>
          <w:color w:val="FFFFFF"/>
          <w:sz w:val="44"/>
        </w:rPr>
        <w:t>Document 4 — Nigeria: Labour Law &amp; CIPM</w:t>
      </w:r>
    </w:p>
    <w:p>
      <w:pPr>
        <w:spacing w:before="0" w:after="60"/>
        <w:jc w:val="center"/>
        <w:shd w:val="clear" w:color="auto" w:fill="0B3D5C"/>
        <w:spacing w:before="60" w:after="60" w:left="160" w:right="160"/>
      </w:pPr>
      <w:r>
        <w:rPr>
          <w:b w:val="0"/>
          <w:i/>
          <w:color w:val="FFFFFF"/>
          <w:sz w:val="24"/>
        </w:rPr>
        <w:t>A free, globally employable learning path for a complete beginner — built for Nigeria, portable anywhere</w:t>
      </w:r>
    </w:p>
    <w:p>
      <w:pPr>
        <w:spacing w:after="280"/>
        <w:jc w:val="center"/>
        <w:shd w:val="clear" w:color="auto" w:fill="0B3D5C"/>
        <w:spacing w:before="60" w:after="60" w:left="160" w:right="160"/>
      </w:pPr>
      <w:r>
        <w:rPr>
          <w:b w:val="0"/>
          <w:i w:val="0"/>
          <w:color w:val="CFE3F2"/>
          <w:sz w:val="17"/>
        </w:rPr>
        <w:t>Version 2.0 (debloated split) · 20 October 2026 · ₦0 · verified links</w:t>
      </w:r>
    </w:p>
    <w:p>
      <w:pPr>
        <w:pStyle w:val="Heading1"/>
        <w:jc w:val="center"/>
        <w:shd w:val="clear" w:color="auto" w:fill="12628F"/>
        <w:spacing w:before="60" w:after="60" w:left="140" w:right="140"/>
      </w:pPr>
      <w:r>
        <w:rPr>
          <w:b/>
          <w:i w:val="0"/>
          <w:color w:val="FFFFFF"/>
          <w:sz w:val="26"/>
        </w:rPr>
        <w:t>Document 4 — Nigeria: Labour Law &amp; CIPM</w:t>
      </w:r>
    </w:p>
    <w:p>
      <w:pPr>
        <w:pStyle w:val="Heading3"/>
      </w:pPr>
      <w:r>
        <w:rPr>
          <w:b/>
          <w:i w:val="0"/>
          <w:color w:val="0B3D5C"/>
        </w:rPr>
        <w:t>The law and the profession you will actually be hired into · Weeks 10–12 companion</w:t>
      </w:r>
    </w:p>
    <w:p>
      <w:r>
        <w:rPr>
          <w:b w:val="0"/>
          <w:i/>
        </w:rPr>
        <w:t>Statute text below was read directly from the Federal Ministry of Justice publication of the Act on 20 October 2026, not copied from a blog. Verify before quoting in an interview.</w:t>
      </w:r>
    </w:p>
    <w:p>
      <w:pPr>
        <w:pStyle w:val="Heading2"/>
        <w:pBdr>
          <w:bottom w:val="single" w:sz="12" w:space="3" w:color="0B3D5C"/>
        </w:pBdr>
      </w:pPr>
      <w:r>
        <w:rPr>
          <w:b/>
          <w:i w:val="0"/>
          <w:color w:val="0B3D5C"/>
        </w:rPr>
        <w:t>WHY THIS DOCUMENT EXISTS</w:t>
      </w:r>
    </w:p>
    <w:p>
      <w:r>
        <w:rPr>
          <w:b w:val="0"/>
          <w:i w:val="0"/>
        </w:rPr>
        <w:t xml:space="preserve">Entry-level HR interviews in Nigeria are won or lost here. A candidate who can say </w:t>
      </w:r>
      <w:r>
        <w:rPr>
          <w:b w:val="0"/>
          <w:i/>
        </w:rPr>
        <w:t>"under section 11 the statutory notice is one day up to three months' service, one week from three months to two years, two weeks to five years and one month after five years, and notice of a week or more has to be in writing"</w:t>
      </w:r>
      <w:r>
        <w:rPr>
          <w:b w:val="0"/>
          <w:i w:val="0"/>
        </w:rPr>
        <w:t xml:space="preserve"> is treated as someone who has done the work. This is memorisable in two hours and it is the highest-return two hours in the entire programme.</w:t>
      </w:r>
    </w:p>
    <w:p>
      <w:r>
        <w:rPr>
          <w:b/>
          <w:i w:val="0"/>
          <w:color w:val="0E2B3D"/>
        </w:rPr>
        <w:t>Three cautions before you start.</w:t>
      </w:r>
      <w:r>
        <w:rPr>
          <w:b w:val="0"/>
          <w:i w:val="0"/>
        </w:rPr>
        <w:t xml:space="preserve"> (1) The Labour Act protects </w:t>
      </w:r>
      <w:r>
        <w:rPr>
          <w:b/>
          <w:i w:val="0"/>
          <w:color w:val="0E2B3D"/>
        </w:rPr>
        <w:t>"workers"</w:t>
      </w:r>
      <w:r>
        <w:rPr>
          <w:b w:val="0"/>
          <w:i w:val="0"/>
        </w:rPr>
        <w:t xml:space="preserve"> — it does not blanket-cover administrative, executive, technical and professional employees, so in practice contracts and company policy fill that space, and interviewers know this. (2) Judgments from the </w:t>
      </w:r>
      <w:r>
        <w:rPr>
          <w:b/>
          <w:i w:val="0"/>
          <w:color w:val="0E2B3D"/>
        </w:rPr>
        <w:t>National Industrial Court</w:t>
      </w:r>
      <w:r>
        <w:rPr>
          <w:b w:val="0"/>
          <w:i w:val="0"/>
        </w:rPr>
        <w:t xml:space="preserve"> (which has exclusive jurisdiction over labour matters) decide how these rules actually bite — wrongful dismissal, discrimination, sector rules. (3) Naira figures and percentages go stale fast; every one below carries a date.</w:t>
      </w:r>
    </w:p>
    <w:p>
      <w:pPr>
        <w:pStyle w:val="Heading2"/>
        <w:pBdr>
          <w:bottom w:val="single" w:sz="12" w:space="3" w:color="0B3D5C"/>
        </w:pBdr>
      </w:pPr>
      <w:r>
        <w:rPr>
          <w:b/>
          <w:i w:val="0"/>
          <w:color w:val="0B3D5C"/>
        </w:rPr>
        <w:t>4.1 THE SOURCES, IN ORDER OF AUTHORITY</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Source</w:t>
            </w:r>
          </w:p>
        </w:tc>
        <w:tc>
          <w:tcPr>
            <w:tcW w:type="dxa" w:w="3264"/>
            <w:shd w:val="clear" w:color="auto" w:fill="0B3D5C"/>
            <w:tcMar>
              <w:top w:w="70" w:type="dxa"/>
              <w:start w:w="100" w:type="dxa"/>
              <w:bottom w:w="70" w:type="dxa"/>
              <w:end w:w="100" w:type="dxa"/>
            </w:tcMar>
          </w:tcPr>
          <w:p>
            <w:pPr>
              <w:spacing w:after="20"/>
            </w:pPr>
            <w:r/>
            <w:r>
              <w:rPr>
                <w:b/>
                <w:color w:val="FFFFFF"/>
                <w:sz w:val="18"/>
              </w:rPr>
              <w:t>What it is</w:t>
            </w:r>
          </w:p>
        </w:tc>
        <w:tc>
          <w:tcPr>
            <w:tcW w:type="dxa" w:w="3264"/>
            <w:shd w:val="clear" w:color="auto" w:fill="0B3D5C"/>
            <w:tcMar>
              <w:top w:w="70" w:type="dxa"/>
              <w:start w:w="100" w:type="dxa"/>
              <w:bottom w:w="70" w:type="dxa"/>
              <w:end w:w="100" w:type="dxa"/>
            </w:tcMar>
          </w:tcPr>
          <w:p>
            <w:pPr>
              <w:spacing w:after="20"/>
            </w:pPr>
            <w:r/>
            <w:r>
              <w:rPr>
                <w:b/>
                <w:color w:val="FFFFFF"/>
                <w:sz w:val="18"/>
              </w:rPr>
              <w:t>Link</w:t>
            </w:r>
          </w:p>
        </w:tc>
      </w:tr>
      <w:tr>
        <w:tc>
          <w:tcPr>
            <w:tcW w:type="dxa" w:w="3264"/>
            <w:tcMar>
              <w:top w:w="70" w:type="dxa"/>
              <w:start w:w="100" w:type="dxa"/>
              <w:bottom w:w="70" w:type="dxa"/>
              <w:end w:w="100" w:type="dxa"/>
            </w:tcMar>
          </w:tcPr>
          <w:p>
            <w:pPr>
              <w:spacing w:after="20"/>
            </w:pPr>
            <w:r>
              <w:rPr>
                <w:sz w:val="18"/>
              </w:rPr>
            </w:r>
            <w:r>
              <w:rPr>
                <w:b/>
                <w:i w:val="0"/>
                <w:color w:val="0E2B3D"/>
                <w:sz w:val="18"/>
              </w:rPr>
              <w:t>Labour Act, Cap L1, LFN 2004</w:t>
            </w:r>
            <w:r>
              <w:rPr>
                <w:b w:val="0"/>
                <w:i w:val="0"/>
                <w:sz w:val="18"/>
              </w:rPr>
              <w:t xml:space="preserve"> (full text PDF, 80 pp)</w:t>
            </w:r>
          </w:p>
        </w:tc>
        <w:tc>
          <w:tcPr>
            <w:tcW w:type="dxa" w:w="3264"/>
            <w:tcMar>
              <w:top w:w="70" w:type="dxa"/>
              <w:start w:w="100" w:type="dxa"/>
              <w:bottom w:w="70" w:type="dxa"/>
              <w:end w:w="100" w:type="dxa"/>
            </w:tcMar>
          </w:tcPr>
          <w:p>
            <w:pPr>
              <w:spacing w:after="20"/>
            </w:pPr>
            <w:r>
              <w:rPr>
                <w:sz w:val="18"/>
              </w:rPr>
            </w:r>
            <w:r>
              <w:rPr>
                <w:b w:val="0"/>
                <w:i w:val="0"/>
                <w:sz w:val="18"/>
              </w:rPr>
              <w:t>The primary statute on employment terms for covered workers</w:t>
            </w:r>
          </w:p>
        </w:tc>
        <w:tc>
          <w:tcPr>
            <w:tcW w:type="dxa" w:w="3264"/>
            <w:tcMar>
              <w:top w:w="70" w:type="dxa"/>
              <w:start w:w="100" w:type="dxa"/>
              <w:bottom w:w="70" w:type="dxa"/>
              <w:end w:w="100" w:type="dxa"/>
            </w:tcMar>
          </w:tcPr>
          <w:p>
            <w:pPr>
              <w:spacing w:after="20"/>
            </w:pPr>
            <w:r>
              <w:rPr>
                <w:sz w:val="18"/>
              </w:rPr>
            </w:r>
            <w:hyperlink r:id="rId9">
              <w:r>
                <w:rPr>
                  <w:color w:val="1A5C8A"/>
                  <w:u w:val="single"/>
                </w:rPr>
                <w:t xml:space="preserve">https://lawsofnigeria.placng.org/laws/L1.pdf</w:t>
              </w:r>
            </w:hyperlink>
          </w:p>
        </w:tc>
      </w:tr>
      <w:tr>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CIPM *Nigerian Labour Law* study pack, 4th ed.</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The professional body's own textbook on this law, free</w:t>
            </w:r>
          </w:p>
        </w:tc>
        <w:tc>
          <w:tcPr>
            <w:tcW w:type="dxa" w:w="3264"/>
            <w:tcMar>
              <w:top w:w="70" w:type="dxa"/>
              <w:start w:w="100" w:type="dxa"/>
              <w:bottom w:w="70" w:type="dxa"/>
              <w:end w:w="100" w:type="dxa"/>
            </w:tcMar>
            <w:shd w:val="clear" w:color="auto" w:fill="F6FAFD"/>
          </w:tcPr>
          <w:p>
            <w:pPr>
              <w:spacing w:after="20"/>
            </w:pPr>
            <w:r>
              <w:rPr>
                <w:sz w:val="18"/>
              </w:rPr>
            </w:r>
            <w:hyperlink r:id="rId10">
              <w:r>
                <w:rPr>
                  <w:color w:val="1A5C8A"/>
                  <w:u w:val="single"/>
                </w:rPr>
                <w:t xml:space="preserve">https://www.cipmnigeria.org/wp-content/uploads/2024/07/NIGERIAN-LABOUR-LAW.pdf</w:t>
              </w:r>
            </w:hyperlink>
          </w:p>
        </w:tc>
      </w:tr>
      <w:tr>
        <w:tc>
          <w:tcPr>
            <w:tcW w:type="dxa" w:w="3264"/>
            <w:tcMar>
              <w:top w:w="70" w:type="dxa"/>
              <w:start w:w="100" w:type="dxa"/>
              <w:bottom w:w="70" w:type="dxa"/>
              <w:end w:w="100" w:type="dxa"/>
            </w:tcMar>
          </w:tcPr>
          <w:p>
            <w:pPr>
              <w:spacing w:after="20"/>
            </w:pPr>
            <w:r>
              <w:rPr>
                <w:sz w:val="18"/>
              </w:rPr>
            </w:r>
            <w:r>
              <w:rPr>
                <w:b/>
                <w:i w:val="0"/>
                <w:color w:val="0E2B3D"/>
                <w:sz w:val="18"/>
              </w:rPr>
              <w:t>National Industrial Court of Nigeria</w:t>
            </w:r>
          </w:p>
        </w:tc>
        <w:tc>
          <w:tcPr>
            <w:tcW w:type="dxa" w:w="3264"/>
            <w:tcMar>
              <w:top w:w="70" w:type="dxa"/>
              <w:start w:w="100" w:type="dxa"/>
              <w:bottom w:w="70" w:type="dxa"/>
              <w:end w:w="100" w:type="dxa"/>
            </w:tcMar>
          </w:tcPr>
          <w:p>
            <w:pPr>
              <w:spacing w:after="20"/>
            </w:pPr>
            <w:r>
              <w:rPr>
                <w:sz w:val="18"/>
              </w:rPr>
            </w:r>
            <w:r>
              <w:rPr>
                <w:b w:val="0"/>
                <w:i w:val="0"/>
                <w:sz w:val="18"/>
              </w:rPr>
              <w:t>Judgments and practice directions on labour/employment disputes</w:t>
            </w:r>
          </w:p>
        </w:tc>
        <w:tc>
          <w:tcPr>
            <w:tcW w:type="dxa" w:w="3264"/>
            <w:tcMar>
              <w:top w:w="70" w:type="dxa"/>
              <w:start w:w="100" w:type="dxa"/>
              <w:bottom w:w="70" w:type="dxa"/>
              <w:end w:w="100" w:type="dxa"/>
            </w:tcMar>
          </w:tcPr>
          <w:p>
            <w:pPr>
              <w:spacing w:after="20"/>
            </w:pPr>
            <w:r>
              <w:rPr>
                <w:sz w:val="18"/>
              </w:rPr>
            </w:r>
            <w:hyperlink r:id="rId11">
              <w:r>
                <w:rPr>
                  <w:color w:val="1A5C8A"/>
                  <w:u w:val="single"/>
                </w:rPr>
                <w:t xml:space="preserve">https://nicn.gov.ng/</w:t>
              </w:r>
            </w:hyperlink>
          </w:p>
        </w:tc>
      </w:tr>
      <w:tr>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Federal Ministry of Labour &amp; Employment</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Policy, wage machinery, trade union registration</w:t>
            </w:r>
          </w:p>
        </w:tc>
        <w:tc>
          <w:tcPr>
            <w:tcW w:type="dxa" w:w="3264"/>
            <w:tcMar>
              <w:top w:w="70" w:type="dxa"/>
              <w:start w:w="100" w:type="dxa"/>
              <w:bottom w:w="70" w:type="dxa"/>
              <w:end w:w="100" w:type="dxa"/>
            </w:tcMar>
            <w:shd w:val="clear" w:color="auto" w:fill="F6FAFD"/>
          </w:tcPr>
          <w:p>
            <w:pPr>
              <w:spacing w:after="20"/>
            </w:pPr>
            <w:r>
              <w:rPr>
                <w:sz w:val="18"/>
              </w:rPr>
            </w:r>
            <w:hyperlink r:id="rId12">
              <w:r>
                <w:rPr>
                  <w:color w:val="1A5C8A"/>
                  <w:u w:val="single"/>
                </w:rPr>
                <w:t xml:space="preserve">https://labour.gov.ng/</w:t>
              </w:r>
            </w:hyperlink>
          </w:p>
        </w:tc>
      </w:tr>
      <w:tr>
        <w:tc>
          <w:tcPr>
            <w:tcW w:type="dxa" w:w="3264"/>
            <w:tcMar>
              <w:top w:w="70" w:type="dxa"/>
              <w:start w:w="100" w:type="dxa"/>
              <w:bottom w:w="70" w:type="dxa"/>
              <w:end w:w="100" w:type="dxa"/>
            </w:tcMar>
          </w:tcPr>
          <w:p>
            <w:pPr>
              <w:spacing w:after="20"/>
            </w:pPr>
            <w:r>
              <w:rPr>
                <w:sz w:val="18"/>
              </w:rPr>
            </w:r>
            <w:r>
              <w:rPr>
                <w:b/>
                <w:i w:val="0"/>
                <w:color w:val="0E2B3D"/>
                <w:sz w:val="18"/>
              </w:rPr>
              <w:t>Nigeria Data Protection Commission</w:t>
            </w:r>
          </w:p>
        </w:tc>
        <w:tc>
          <w:tcPr>
            <w:tcW w:type="dxa" w:w="3264"/>
            <w:tcMar>
              <w:top w:w="70" w:type="dxa"/>
              <w:start w:w="100" w:type="dxa"/>
              <w:bottom w:w="70" w:type="dxa"/>
              <w:end w:w="100" w:type="dxa"/>
            </w:tcMar>
          </w:tcPr>
          <w:p>
            <w:pPr>
              <w:spacing w:after="20"/>
            </w:pPr>
            <w:r>
              <w:rPr>
                <w:sz w:val="18"/>
              </w:rPr>
            </w:r>
            <w:r>
              <w:rPr>
                <w:b w:val="0"/>
                <w:i w:val="0"/>
                <w:sz w:val="18"/>
              </w:rPr>
              <w:t>Rules for candidate and employee personal data (NDPA 2023)</w:t>
            </w:r>
          </w:p>
        </w:tc>
        <w:tc>
          <w:tcPr>
            <w:tcW w:type="dxa" w:w="3264"/>
            <w:tcMar>
              <w:top w:w="70" w:type="dxa"/>
              <w:start w:w="100" w:type="dxa"/>
              <w:bottom w:w="70" w:type="dxa"/>
              <w:end w:w="100" w:type="dxa"/>
            </w:tcMar>
          </w:tcPr>
          <w:p>
            <w:pPr>
              <w:spacing w:after="20"/>
            </w:pPr>
            <w:r>
              <w:rPr>
                <w:sz w:val="18"/>
              </w:rPr>
            </w:r>
            <w:hyperlink r:id="rId13">
              <w:r>
                <w:rPr>
                  <w:color w:val="1A5C8A"/>
                  <w:u w:val="single"/>
                </w:rPr>
                <w:t xml:space="preserve">https://ndpc.gov.ng/</w:t>
              </w:r>
            </w:hyperlink>
          </w:p>
        </w:tc>
      </w:tr>
      <w:tr>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PenCom</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Contributory pension regulator — check current rates here before quoting any</w:t>
            </w:r>
          </w:p>
        </w:tc>
        <w:tc>
          <w:tcPr>
            <w:tcW w:type="dxa" w:w="3264"/>
            <w:tcMar>
              <w:top w:w="70" w:type="dxa"/>
              <w:start w:w="100" w:type="dxa"/>
              <w:bottom w:w="70" w:type="dxa"/>
              <w:end w:w="100" w:type="dxa"/>
            </w:tcMar>
            <w:shd w:val="clear" w:color="auto" w:fill="F6FAFD"/>
          </w:tcPr>
          <w:p>
            <w:pPr>
              <w:spacing w:after="20"/>
            </w:pPr>
            <w:r>
              <w:rPr>
                <w:sz w:val="18"/>
              </w:rPr>
            </w:r>
            <w:hyperlink r:id="rId14">
              <w:r>
                <w:rPr>
                  <w:color w:val="1A5C8A"/>
                  <w:u w:val="single"/>
                </w:rPr>
                <w:t xml:space="preserve">https://www.pencom.gov.ng/</w:t>
              </w:r>
            </w:hyperlink>
          </w:p>
        </w:tc>
      </w:tr>
    </w:tbl>
    <w:p/>
    <w:p>
      <w:r>
        <w:rPr>
          <w:b w:val="0"/>
          <w:i w:val="0"/>
        </w:rPr>
        <w:t>Study order: CIPM pack Part 1 → the Act itself (only the sections below) → one NICN case summary. Do not read 80 pages of statute cover to cover; nobody preparing for an HR interview does.</w:t>
      </w:r>
    </w:p>
    <w:p>
      <w:pPr>
        <w:pStyle w:val="Heading2"/>
        <w:pBdr>
          <w:bottom w:val="single" w:sz="12" w:space="3" w:color="0B3D5C"/>
        </w:pBdr>
      </w:pPr>
      <w:r>
        <w:rPr>
          <w:b/>
          <w:i w:val="0"/>
          <w:color w:val="0B3D5C"/>
        </w:rPr>
        <w:t>4.2 THE PROVISIONS YOU MUST BE ABLE TO STATE</w:t>
      </w:r>
    </w:p>
    <w:p>
      <w:r>
        <w:rPr>
          <w:b w:val="0"/>
          <w:i w:val="0"/>
        </w:rPr>
        <w:t>Quoted from the Act's text. Say these in your own words, with the section number attached.</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3264"/>
        <w:gridCol w:w="3264"/>
        <w:gridCol w:w="3264"/>
      </w:tblGrid>
      <w:tr>
        <w:tc>
          <w:tcPr>
            <w:tcW w:type="dxa" w:w="3264"/>
            <w:shd w:val="clear" w:color="auto" w:fill="0B3D5C"/>
            <w:tcMar>
              <w:top w:w="70" w:type="dxa"/>
              <w:start w:w="100" w:type="dxa"/>
              <w:bottom w:w="70" w:type="dxa"/>
              <w:end w:w="100" w:type="dxa"/>
            </w:tcMar>
          </w:tcPr>
          <w:p>
            <w:pPr>
              <w:spacing w:after="20"/>
            </w:pPr>
            <w:r/>
            <w:r>
              <w:rPr>
                <w:b/>
                <w:color w:val="FFFFFF"/>
                <w:sz w:val="18"/>
              </w:rPr>
              <w:t>Area</w:t>
            </w:r>
          </w:p>
        </w:tc>
        <w:tc>
          <w:tcPr>
            <w:tcW w:type="dxa" w:w="3264"/>
            <w:shd w:val="clear" w:color="auto" w:fill="0B3D5C"/>
            <w:tcMar>
              <w:top w:w="70" w:type="dxa"/>
              <w:start w:w="100" w:type="dxa"/>
              <w:bottom w:w="70" w:type="dxa"/>
              <w:end w:w="100" w:type="dxa"/>
            </w:tcMar>
          </w:tcPr>
          <w:p>
            <w:pPr>
              <w:spacing w:after="20"/>
            </w:pPr>
            <w:r/>
            <w:r>
              <w:rPr>
                <w:b/>
                <w:color w:val="FFFFFF"/>
                <w:sz w:val="18"/>
              </w:rPr>
              <w:t>Section</w:t>
            </w:r>
          </w:p>
        </w:tc>
        <w:tc>
          <w:tcPr>
            <w:tcW w:type="dxa" w:w="3264"/>
            <w:shd w:val="clear" w:color="auto" w:fill="0B3D5C"/>
            <w:tcMar>
              <w:top w:w="70" w:type="dxa"/>
              <w:start w:w="100" w:type="dxa"/>
              <w:bottom w:w="70" w:type="dxa"/>
              <w:end w:w="100" w:type="dxa"/>
            </w:tcMar>
          </w:tcPr>
          <w:p>
            <w:pPr>
              <w:spacing w:after="20"/>
            </w:pPr>
            <w:r/>
            <w:r>
              <w:rPr>
                <w:b/>
                <w:color w:val="FFFFFF"/>
                <w:sz w:val="18"/>
              </w:rPr>
              <w:t>What the Act says</w:t>
            </w:r>
          </w:p>
        </w:tc>
      </w:tr>
      <w:tr>
        <w:tc>
          <w:tcPr>
            <w:tcW w:type="dxa" w:w="3264"/>
            <w:tcMar>
              <w:top w:w="70" w:type="dxa"/>
              <w:start w:w="100" w:type="dxa"/>
              <w:bottom w:w="70" w:type="dxa"/>
              <w:end w:w="100" w:type="dxa"/>
            </w:tcMar>
          </w:tcPr>
          <w:p>
            <w:pPr>
              <w:spacing w:after="20"/>
            </w:pPr>
            <w:r>
              <w:rPr>
                <w:sz w:val="18"/>
              </w:rPr>
            </w:r>
            <w:r>
              <w:rPr>
                <w:b/>
                <w:i w:val="0"/>
                <w:color w:val="0E2B3D"/>
                <w:sz w:val="18"/>
              </w:rPr>
              <w:t>Written particulars</w:t>
            </w:r>
          </w:p>
        </w:tc>
        <w:tc>
          <w:tcPr>
            <w:tcW w:type="dxa" w:w="3264"/>
            <w:tcMar>
              <w:top w:w="70" w:type="dxa"/>
              <w:start w:w="100" w:type="dxa"/>
              <w:bottom w:w="70" w:type="dxa"/>
              <w:end w:w="100" w:type="dxa"/>
            </w:tcMar>
          </w:tcPr>
          <w:p>
            <w:pPr>
              <w:spacing w:after="20"/>
            </w:pPr>
            <w:r>
              <w:rPr>
                <w:sz w:val="18"/>
              </w:rPr>
            </w:r>
            <w:r>
              <w:rPr>
                <w:b w:val="0"/>
                <w:i w:val="0"/>
                <w:sz w:val="18"/>
              </w:rPr>
              <w:t>s.7</w:t>
            </w:r>
          </w:p>
        </w:tc>
        <w:tc>
          <w:tcPr>
            <w:tcW w:type="dxa" w:w="3264"/>
            <w:tcMar>
              <w:top w:w="70" w:type="dxa"/>
              <w:start w:w="100" w:type="dxa"/>
              <w:bottom w:w="70" w:type="dxa"/>
              <w:end w:w="100" w:type="dxa"/>
            </w:tcMar>
          </w:tcPr>
          <w:p>
            <w:pPr>
              <w:spacing w:after="20"/>
            </w:pPr>
            <w:r>
              <w:rPr>
                <w:sz w:val="18"/>
              </w:rPr>
            </w:r>
            <w:r>
              <w:rPr>
                <w:b w:val="0"/>
                <w:i w:val="0"/>
                <w:sz w:val="18"/>
              </w:rPr>
              <w:t xml:space="preserve">Not later than </w:t>
            </w:r>
            <w:r>
              <w:rPr>
                <w:b/>
                <w:i w:val="0"/>
                <w:color w:val="0E2B3D"/>
                <w:sz w:val="18"/>
              </w:rPr>
              <w:t>three months after employment begins</w:t>
            </w:r>
            <w:r>
              <w:rPr>
                <w:b w:val="0"/>
                <w:i w:val="0"/>
                <w:sz w:val="18"/>
              </w:rPr>
              <w:t>, the employer must give the worker a written statement: employer name; worker's name and address and the place/date of engagement; nature of the employment; expiry date if fixed-term; the notice period (with regard to s.11); wage rates, how calculated, and how often paid; and conditions as to hours of work, holidays and holiday pay.</w:t>
            </w:r>
          </w:p>
        </w:tc>
      </w:tr>
      <w:tr>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Termination by notice</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s.11</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Either party may terminate on notice. Statutory minimums: </w:t>
            </w:r>
            <w:r>
              <w:rPr>
                <w:b/>
                <w:i w:val="0"/>
                <w:color w:val="0E2B3D"/>
                <w:sz w:val="18"/>
              </w:rPr>
              <w:t>1 day</w:t>
            </w:r>
            <w:r>
              <w:rPr>
                <w:b w:val="0"/>
                <w:i w:val="0"/>
                <w:sz w:val="18"/>
              </w:rPr>
              <w:t xml:space="preserve"> for service of 3 months or less · </w:t>
            </w:r>
            <w:r>
              <w:rPr>
                <w:b/>
                <w:i w:val="0"/>
                <w:color w:val="0E2B3D"/>
                <w:sz w:val="18"/>
              </w:rPr>
              <w:t>1 week</w:t>
            </w:r>
            <w:r>
              <w:rPr>
                <w:b w:val="0"/>
                <w:i w:val="0"/>
                <w:sz w:val="18"/>
              </w:rPr>
              <w:t xml:space="preserve"> for over 3 months but under 2 years · </w:t>
            </w:r>
            <w:r>
              <w:rPr>
                <w:b/>
                <w:i w:val="0"/>
                <w:color w:val="0E2B3D"/>
                <w:sz w:val="18"/>
              </w:rPr>
              <w:t>2 weeks</w:t>
            </w:r>
            <w:r>
              <w:rPr>
                <w:b w:val="0"/>
                <w:i w:val="0"/>
                <w:sz w:val="18"/>
              </w:rPr>
              <w:t xml:space="preserve"> for 2 years but under 5 · </w:t>
            </w:r>
            <w:r>
              <w:rPr>
                <w:b/>
                <w:i w:val="0"/>
                <w:color w:val="0E2B3D"/>
                <w:sz w:val="18"/>
              </w:rPr>
              <w:t>1 month</w:t>
            </w:r>
            <w:r>
              <w:rPr>
                <w:b w:val="0"/>
                <w:i w:val="0"/>
                <w:sz w:val="18"/>
              </w:rPr>
              <w:t xml:space="preserve"> for 5 years or more. Notice of a week or more </w:t>
            </w:r>
            <w:r>
              <w:rPr>
                <w:b/>
                <w:i w:val="0"/>
                <w:color w:val="0E2B3D"/>
                <w:sz w:val="18"/>
              </w:rPr>
              <w:t>must be in writing</w:t>
            </w:r>
            <w:r>
              <w:rPr>
                <w:b w:val="0"/>
                <w:i w:val="0"/>
                <w:sz w:val="18"/>
              </w:rPr>
              <w:t>; the day notice is given is excluded from the count.</w:t>
            </w:r>
          </w:p>
        </w:tc>
      </w:tr>
      <w:tr>
        <w:tc>
          <w:tcPr>
            <w:tcW w:type="dxa" w:w="3264"/>
            <w:tcMar>
              <w:top w:w="70" w:type="dxa"/>
              <w:start w:w="100" w:type="dxa"/>
              <w:bottom w:w="70" w:type="dxa"/>
              <w:end w:w="100" w:type="dxa"/>
            </w:tcMar>
          </w:tcPr>
          <w:p>
            <w:pPr>
              <w:spacing w:after="20"/>
            </w:pPr>
            <w:r>
              <w:rPr>
                <w:sz w:val="18"/>
              </w:rPr>
            </w:r>
            <w:r>
              <w:rPr>
                <w:b/>
                <w:i w:val="0"/>
                <w:color w:val="0E2B3D"/>
                <w:sz w:val="18"/>
              </w:rPr>
              <w:t>Hours &amp; overtime</w:t>
            </w:r>
          </w:p>
        </w:tc>
        <w:tc>
          <w:tcPr>
            <w:tcW w:type="dxa" w:w="3264"/>
            <w:tcMar>
              <w:top w:w="70" w:type="dxa"/>
              <w:start w:w="100" w:type="dxa"/>
              <w:bottom w:w="70" w:type="dxa"/>
              <w:end w:w="100" w:type="dxa"/>
            </w:tcMar>
          </w:tcPr>
          <w:p>
            <w:pPr>
              <w:spacing w:after="20"/>
            </w:pPr>
            <w:r>
              <w:rPr>
                <w:sz w:val="18"/>
              </w:rPr>
            </w:r>
            <w:r>
              <w:rPr>
                <w:b w:val="0"/>
                <w:i w:val="0"/>
                <w:sz w:val="18"/>
              </w:rPr>
              <w:t>s.13</w:t>
            </w:r>
          </w:p>
        </w:tc>
        <w:tc>
          <w:tcPr>
            <w:tcW w:type="dxa" w:w="3264"/>
            <w:tcMar>
              <w:top w:w="70" w:type="dxa"/>
              <w:start w:w="100" w:type="dxa"/>
              <w:bottom w:w="70" w:type="dxa"/>
              <w:end w:w="100" w:type="dxa"/>
            </w:tcMar>
          </w:tcPr>
          <w:p>
            <w:pPr>
              <w:spacing w:after="20"/>
            </w:pPr>
            <w:r>
              <w:rPr>
                <w:sz w:val="18"/>
              </w:rPr>
            </w:r>
            <w:r>
              <w:rPr>
                <w:b w:val="0"/>
                <w:i w:val="0"/>
                <w:sz w:val="18"/>
              </w:rPr>
              <w:t xml:space="preserve">Normal hours are those fixed by mutual agreement, or by collective bargaining, or by an industrial wages board where no bargaining machinery exists. Hours beyond that are overtime. (There is </w:t>
            </w:r>
            <w:r>
              <w:rPr>
                <w:b/>
                <w:i w:val="0"/>
                <w:color w:val="0E2B3D"/>
                <w:sz w:val="18"/>
              </w:rPr>
              <w:t>no universal statutory weekly cap</w:t>
            </w:r>
            <w:r>
              <w:rPr>
                <w:b w:val="0"/>
                <w:i w:val="0"/>
                <w:sz w:val="18"/>
              </w:rPr>
              <w:t xml:space="preserve"> in the Act — people get this wrong constantly.)</w:t>
            </w:r>
          </w:p>
        </w:tc>
      </w:tr>
      <w:tr>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Sick leave</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s.16</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Subject to the workmen's/employees' compensation regime, wages are payable for </w:t>
            </w:r>
            <w:r>
              <w:rPr>
                <w:b/>
                <w:i w:val="0"/>
                <w:color w:val="0E2B3D"/>
                <w:sz w:val="18"/>
              </w:rPr>
              <w:t>up to 12 working days in a calendar year</w:t>
            </w:r>
            <w:r>
              <w:rPr>
                <w:b w:val="0"/>
                <w:i w:val="0"/>
                <w:sz w:val="18"/>
              </w:rPr>
              <w:t xml:space="preserve"> for absence caused by temporary illness certified by a registered medical practitioner; the contract must be subsisting and the worker must be ready to work but for the illness; the employer may require examination by its own nominated doctor.</w:t>
            </w:r>
          </w:p>
        </w:tc>
      </w:tr>
      <w:tr>
        <w:tc>
          <w:tcPr>
            <w:tcW w:type="dxa" w:w="3264"/>
            <w:tcMar>
              <w:top w:w="70" w:type="dxa"/>
              <w:start w:w="100" w:type="dxa"/>
              <w:bottom w:w="70" w:type="dxa"/>
              <w:end w:w="100" w:type="dxa"/>
            </w:tcMar>
          </w:tcPr>
          <w:p>
            <w:pPr>
              <w:spacing w:after="20"/>
            </w:pPr>
            <w:r>
              <w:rPr>
                <w:sz w:val="18"/>
              </w:rPr>
            </w:r>
            <w:r>
              <w:rPr>
                <w:b/>
                <w:i w:val="0"/>
                <w:color w:val="0E2B3D"/>
                <w:sz w:val="18"/>
              </w:rPr>
              <w:t>Annual leave</w:t>
            </w:r>
          </w:p>
        </w:tc>
        <w:tc>
          <w:tcPr>
            <w:tcW w:type="dxa" w:w="3264"/>
            <w:tcMar>
              <w:top w:w="70" w:type="dxa"/>
              <w:start w:w="100" w:type="dxa"/>
              <w:bottom w:w="70" w:type="dxa"/>
              <w:end w:w="100" w:type="dxa"/>
            </w:tcMar>
          </w:tcPr>
          <w:p>
            <w:pPr>
              <w:spacing w:after="20"/>
            </w:pPr>
            <w:r>
              <w:rPr>
                <w:sz w:val="18"/>
              </w:rPr>
            </w:r>
            <w:r>
              <w:rPr>
                <w:b w:val="0"/>
                <w:i w:val="0"/>
                <w:sz w:val="18"/>
              </w:rPr>
              <w:t>s.18</w:t>
            </w:r>
          </w:p>
        </w:tc>
        <w:tc>
          <w:tcPr>
            <w:tcW w:type="dxa" w:w="3264"/>
            <w:tcMar>
              <w:top w:w="70" w:type="dxa"/>
              <w:start w:w="100" w:type="dxa"/>
              <w:bottom w:w="70" w:type="dxa"/>
              <w:end w:w="100" w:type="dxa"/>
            </w:tcMar>
          </w:tcPr>
          <w:p>
            <w:pPr>
              <w:spacing w:after="20"/>
            </w:pPr>
            <w:r>
              <w:rPr>
                <w:sz w:val="18"/>
              </w:rPr>
            </w:r>
            <w:r>
              <w:rPr>
                <w:b w:val="0"/>
                <w:i w:val="0"/>
                <w:sz w:val="18"/>
              </w:rPr>
              <w:t xml:space="preserve">After </w:t>
            </w:r>
            <w:r>
              <w:rPr>
                <w:b/>
                <w:i w:val="0"/>
                <w:color w:val="0E2B3D"/>
                <w:sz w:val="18"/>
              </w:rPr>
              <w:t>12 months' continuous service</w:t>
            </w:r>
            <w:r>
              <w:rPr>
                <w:b w:val="0"/>
                <w:i w:val="0"/>
                <w:sz w:val="18"/>
              </w:rPr>
              <w:t xml:space="preserve">, at least </w:t>
            </w:r>
            <w:r>
              <w:rPr>
                <w:b/>
                <w:i w:val="0"/>
                <w:color w:val="0E2B3D"/>
                <w:sz w:val="18"/>
              </w:rPr>
              <w:t>6 working days</w:t>
            </w:r>
            <w:r>
              <w:rPr>
                <w:b w:val="0"/>
                <w:i w:val="0"/>
                <w:sz w:val="18"/>
              </w:rPr>
              <w:t xml:space="preserve"> on full pay (at least 12 days for a worker under 16, including apprentices). Leave may be deferred by agreement but the earning period can't exceed 24 months. Paying wages </w:t>
            </w:r>
            <w:r>
              <w:rPr>
                <w:b/>
                <w:i w:val="0"/>
                <w:color w:val="0E2B3D"/>
                <w:sz w:val="18"/>
              </w:rPr>
              <w:t>in lieu of leave is unlawful</w:t>
            </w:r>
            <w:r>
              <w:rPr>
                <w:b w:val="0"/>
                <w:i w:val="0"/>
                <w:sz w:val="18"/>
              </w:rPr>
              <w:t xml:space="preserve"> while the contract subsists.</w:t>
            </w:r>
          </w:p>
        </w:tc>
      </w:tr>
      <w:tr>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Redundancy</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s.20</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 xml:space="preserve">Redundancy means an </w:t>
            </w:r>
            <w:r>
              <w:rPr>
                <w:b/>
                <w:i w:val="0"/>
                <w:color w:val="0E2B3D"/>
                <w:sz w:val="18"/>
              </w:rPr>
              <w:t>involuntary and permanent loss of employment caused by an excess of manpower</w:t>
            </w:r>
            <w:r>
              <w:rPr>
                <w:b w:val="0"/>
                <w:i w:val="0"/>
                <w:sz w:val="18"/>
              </w:rPr>
              <w:t xml:space="preserve">. The employer must (a) inform the trade union or workers' representative of the reasons and extent, (b) apply </w:t>
            </w:r>
            <w:r>
              <w:rPr>
                <w:b/>
                <w:i w:val="0"/>
                <w:color w:val="0E2B3D"/>
                <w:sz w:val="18"/>
              </w:rPr>
              <w:t>"last in, first out"</w:t>
            </w:r>
            <w:r>
              <w:rPr>
                <w:b w:val="0"/>
                <w:i w:val="0"/>
                <w:sz w:val="18"/>
              </w:rPr>
              <w:t xml:space="preserve"> </w:t>
            </w:r>
            <w:r>
              <w:rPr>
                <w:b w:val="0"/>
                <w:i/>
                <w:sz w:val="18"/>
              </w:rPr>
              <w:t>subject to relative merit, skill, ability and reliability</w:t>
            </w:r>
            <w:r>
              <w:rPr>
                <w:b w:val="0"/>
                <w:i w:val="0"/>
                <w:sz w:val="18"/>
              </w:rPr>
              <w:t>, and (c) use best endeavours to negotiate redundancy payments for workers not covered by regulations.</w:t>
            </w:r>
          </w:p>
        </w:tc>
      </w:tr>
      <w:tr>
        <w:tc>
          <w:tcPr>
            <w:tcW w:type="dxa" w:w="3264"/>
            <w:tcMar>
              <w:top w:w="70" w:type="dxa"/>
              <w:start w:w="100" w:type="dxa"/>
              <w:bottom w:w="70" w:type="dxa"/>
              <w:end w:w="100" w:type="dxa"/>
            </w:tcMar>
          </w:tcPr>
          <w:p>
            <w:pPr>
              <w:spacing w:after="20"/>
            </w:pPr>
            <w:r>
              <w:rPr>
                <w:sz w:val="18"/>
              </w:rPr>
            </w:r>
            <w:r>
              <w:rPr>
                <w:b/>
                <w:i w:val="0"/>
                <w:color w:val="0E2B3D"/>
                <w:sz w:val="18"/>
              </w:rPr>
              <w:t>Maternity</w:t>
            </w:r>
          </w:p>
        </w:tc>
        <w:tc>
          <w:tcPr>
            <w:tcW w:type="dxa" w:w="3264"/>
            <w:tcMar>
              <w:top w:w="70" w:type="dxa"/>
              <w:start w:w="100" w:type="dxa"/>
              <w:bottom w:w="70" w:type="dxa"/>
              <w:end w:w="100" w:type="dxa"/>
            </w:tcMar>
          </w:tcPr>
          <w:p>
            <w:pPr>
              <w:spacing w:after="20"/>
            </w:pPr>
            <w:r>
              <w:rPr>
                <w:sz w:val="18"/>
              </w:rPr>
            </w:r>
            <w:r>
              <w:rPr>
                <w:b w:val="0"/>
                <w:i w:val="0"/>
                <w:sz w:val="18"/>
              </w:rPr>
              <w:t>s.54</w:t>
            </w:r>
          </w:p>
        </w:tc>
        <w:tc>
          <w:tcPr>
            <w:tcW w:type="dxa" w:w="3264"/>
            <w:tcMar>
              <w:top w:w="70" w:type="dxa"/>
              <w:start w:w="100" w:type="dxa"/>
              <w:bottom w:w="70" w:type="dxa"/>
              <w:end w:w="100" w:type="dxa"/>
            </w:tcMar>
          </w:tcPr>
          <w:p>
            <w:pPr>
              <w:spacing w:after="20"/>
            </w:pPr>
            <w:r>
              <w:rPr>
                <w:sz w:val="18"/>
              </w:rPr>
            </w:r>
            <w:r>
              <w:rPr>
                <w:b w:val="0"/>
                <w:i w:val="0"/>
                <w:sz w:val="18"/>
              </w:rPr>
              <w:t xml:space="preserve">In industrial, commercial or agricultural undertakings: a woman may leave work on a medical certificate that confinement is likely within </w:t>
            </w:r>
            <w:r>
              <w:rPr>
                <w:b/>
                <w:i w:val="0"/>
                <w:color w:val="0E2B3D"/>
                <w:sz w:val="18"/>
              </w:rPr>
              <w:t>6 weeks</w:t>
            </w:r>
            <w:r>
              <w:rPr>
                <w:b w:val="0"/>
                <w:i w:val="0"/>
                <w:sz w:val="18"/>
              </w:rPr>
              <w:t xml:space="preserve">; she </w:t>
            </w:r>
            <w:r>
              <w:rPr>
                <w:b/>
                <w:i w:val="0"/>
                <w:color w:val="0E2B3D"/>
                <w:sz w:val="18"/>
              </w:rPr>
              <w:t>must not work for 6 weeks after confinement</w:t>
            </w:r>
            <w:r>
              <w:rPr>
                <w:b w:val="0"/>
                <w:i w:val="0"/>
                <w:sz w:val="18"/>
              </w:rPr>
              <w:t xml:space="preserve">; if continuously employed 6 months or more she must be paid </w:t>
            </w:r>
            <w:r>
              <w:rPr>
                <w:b/>
                <w:i w:val="0"/>
                <w:color w:val="0E2B3D"/>
                <w:sz w:val="18"/>
              </w:rPr>
              <w:t>not less than 50% of wages</w:t>
            </w:r>
            <w:r>
              <w:rPr>
                <w:b w:val="0"/>
                <w:i w:val="0"/>
                <w:sz w:val="18"/>
              </w:rPr>
              <w:t xml:space="preserve">; nursing mothers get </w:t>
            </w:r>
            <w:r>
              <w:rPr>
                <w:b/>
                <w:i w:val="0"/>
                <w:color w:val="0E2B3D"/>
                <w:sz w:val="18"/>
              </w:rPr>
              <w:t>30 minutes twice daily</w:t>
            </w:r>
            <w:r>
              <w:rPr>
                <w:b w:val="0"/>
                <w:i w:val="0"/>
                <w:sz w:val="18"/>
              </w:rPr>
              <w:t>.</w:t>
            </w:r>
          </w:p>
        </w:tc>
      </w:tr>
      <w:tr>
        <w:tc>
          <w:tcPr>
            <w:tcW w:type="dxa" w:w="3264"/>
            <w:tcMar>
              <w:top w:w="70" w:type="dxa"/>
              <w:start w:w="100" w:type="dxa"/>
              <w:bottom w:w="70" w:type="dxa"/>
              <w:end w:w="100" w:type="dxa"/>
            </w:tcMar>
            <w:shd w:val="clear" w:color="auto" w:fill="F6FAFD"/>
          </w:tcPr>
          <w:p>
            <w:pPr>
              <w:spacing w:after="20"/>
            </w:pPr>
            <w:r>
              <w:rPr>
                <w:sz w:val="18"/>
              </w:rPr>
            </w:r>
            <w:r>
              <w:rPr>
                <w:b/>
                <w:i w:val="0"/>
                <w:color w:val="0E2B3D"/>
                <w:sz w:val="18"/>
              </w:rPr>
              <w:t>Recruiting (directly about your job)</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Part II, ss.23–33</w:t>
            </w:r>
          </w:p>
        </w:tc>
        <w:tc>
          <w:tcPr>
            <w:tcW w:type="dxa" w:w="3264"/>
            <w:tcMar>
              <w:top w:w="70" w:type="dxa"/>
              <w:start w:w="100" w:type="dxa"/>
              <w:bottom w:w="70" w:type="dxa"/>
              <w:end w:w="100" w:type="dxa"/>
            </w:tcMar>
            <w:shd w:val="clear" w:color="auto" w:fill="F6FAFD"/>
          </w:tcPr>
          <w:p>
            <w:pPr>
              <w:spacing w:after="20"/>
            </w:pPr>
            <w:r>
              <w:rPr>
                <w:sz w:val="18"/>
              </w:rPr>
            </w:r>
            <w:r>
              <w:rPr>
                <w:b w:val="0"/>
                <w:i w:val="0"/>
                <w:sz w:val="18"/>
              </w:rPr>
              <w:t>Recruiting for employment is regulated — permits/licences are required, with restrictions on what recruiters may do, plus health, transport and repatriation duties. Read this part: almost no candidate mentions it, and it is literally the law governing your future occupation.</w:t>
            </w:r>
          </w:p>
        </w:tc>
      </w:tr>
      <w:tr>
        <w:tc>
          <w:tcPr>
            <w:tcW w:type="dxa" w:w="3264"/>
            <w:tcMar>
              <w:top w:w="70" w:type="dxa"/>
              <w:start w:w="100" w:type="dxa"/>
              <w:bottom w:w="70" w:type="dxa"/>
              <w:end w:w="100" w:type="dxa"/>
            </w:tcMar>
          </w:tcPr>
          <w:p>
            <w:pPr>
              <w:spacing w:after="20"/>
            </w:pPr>
            <w:r>
              <w:rPr>
                <w:sz w:val="18"/>
              </w:rPr>
            </w:r>
            <w:r>
              <w:rPr>
                <w:b/>
                <w:i w:val="0"/>
                <w:color w:val="0E2B3D"/>
                <w:sz w:val="18"/>
              </w:rPr>
              <w:t>Agencies and records</w:t>
            </w:r>
          </w:p>
        </w:tc>
        <w:tc>
          <w:tcPr>
            <w:tcW w:type="dxa" w:w="3264"/>
            <w:tcMar>
              <w:top w:w="70" w:type="dxa"/>
              <w:start w:w="100" w:type="dxa"/>
              <w:bottom w:w="70" w:type="dxa"/>
              <w:end w:w="100" w:type="dxa"/>
            </w:tcMar>
          </w:tcPr>
          <w:p>
            <w:pPr>
              <w:spacing w:after="20"/>
            </w:pPr>
            <w:r>
              <w:rPr>
                <w:sz w:val="18"/>
              </w:rPr>
            </w:r>
            <w:r>
              <w:rPr>
                <w:b w:val="0"/>
                <w:i w:val="0"/>
                <w:sz w:val="18"/>
              </w:rPr>
              <w:t>ss.68–71</w:t>
            </w:r>
          </w:p>
        </w:tc>
        <w:tc>
          <w:tcPr>
            <w:tcW w:type="dxa" w:w="3264"/>
            <w:tcMar>
              <w:top w:w="70" w:type="dxa"/>
              <w:start w:w="100" w:type="dxa"/>
              <w:bottom w:w="70" w:type="dxa"/>
              <w:end w:w="100" w:type="dxa"/>
            </w:tcMar>
          </w:tcPr>
          <w:p>
            <w:pPr>
              <w:spacing w:after="20"/>
            </w:pPr>
            <w:r>
              <w:rPr>
                <w:sz w:val="18"/>
              </w:rPr>
            </w:r>
            <w:r>
              <w:rPr>
                <w:b w:val="0"/>
                <w:i w:val="0"/>
                <w:sz w:val="18"/>
              </w:rPr>
              <w:t xml:space="preserve">Registration of employers, labour schemes, </w:t>
            </w:r>
            <w:r>
              <w:rPr>
                <w:b/>
                <w:i w:val="0"/>
                <w:color w:val="0E2B3D"/>
                <w:sz w:val="18"/>
              </w:rPr>
              <w:t>employment exchanges</w:t>
            </w:r>
            <w:r>
              <w:rPr>
                <w:b w:val="0"/>
                <w:i w:val="0"/>
                <w:sz w:val="18"/>
              </w:rPr>
              <w:t xml:space="preserve">, and regulation of </w:t>
            </w:r>
            <w:r>
              <w:rPr>
                <w:b/>
                <w:i w:val="0"/>
                <w:color w:val="0E2B3D"/>
                <w:sz w:val="18"/>
              </w:rPr>
              <w:t>fee-charging employment agencies</w:t>
            </w:r>
            <w:r>
              <w:rPr>
                <w:b w:val="0"/>
                <w:i w:val="0"/>
                <w:sz w:val="18"/>
              </w:rPr>
              <w:t>. Know that these exist and that a lawful agency is a registered one — it's how you'll vet the recruiters who call you.</w:t>
            </w:r>
          </w:p>
        </w:tc>
      </w:tr>
    </w:tbl>
    <w:p/>
    <w:p>
      <w:r>
        <w:rPr>
          <w:b/>
          <w:i w:val="0"/>
          <w:color w:val="0E2B3D"/>
        </w:rPr>
        <w:t>Wages protection:</w:t>
      </w:r>
      <w:r>
        <w:rPr>
          <w:b w:val="0"/>
          <w:i w:val="0"/>
        </w:rPr>
        <w:t xml:space="preserve"> ss.1–6 govern how wages are paid, forbid payment in premises drinking a drink, restrict advances and deductions (deductions for fines need the rules to be met; union dues deductions follow recognised-union procedures). Worth one paragraph of notes — an employer asking about payroll errors expects this frame.</w:t>
      </w:r>
    </w:p>
    <w:p>
      <w:pPr>
        <w:pStyle w:val="Heading2"/>
        <w:pBdr>
          <w:bottom w:val="single" w:sz="12" w:space="3" w:color="0B3D5C"/>
        </w:pBdr>
      </w:pPr>
      <w:r>
        <w:rPr>
          <w:b/>
          <w:i w:val="0"/>
          <w:color w:val="0B3D5C"/>
        </w:rPr>
        <w:t>4.3 THE OTHER STATUTES TO BE ABLE TO NAME</w:t>
      </w:r>
    </w:p>
    <w:p>
      <w:r>
        <w:rPr>
          <w:b w:val="0"/>
          <w:i w:val="0"/>
        </w:rPr>
        <w:t>One sentence each, in your glossary. You are not examined on these; you are noticed if you know they exist.</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4896"/>
        <w:gridCol w:w="4896"/>
      </w:tblGrid>
      <w:tr>
        <w:tc>
          <w:tcPr>
            <w:tcW w:type="dxa" w:w="4896"/>
            <w:shd w:val="clear" w:color="auto" w:fill="0B3D5C"/>
            <w:tcMar>
              <w:top w:w="70" w:type="dxa"/>
              <w:start w:w="100" w:type="dxa"/>
              <w:bottom w:w="70" w:type="dxa"/>
              <w:end w:w="100" w:type="dxa"/>
            </w:tcMar>
          </w:tcPr>
          <w:p>
            <w:pPr>
              <w:spacing w:after="20"/>
            </w:pPr>
            <w:r/>
            <w:r>
              <w:rPr>
                <w:b/>
                <w:color w:val="FFFFFF"/>
                <w:sz w:val="18"/>
              </w:rPr>
              <w:t>Name</w:t>
            </w:r>
          </w:p>
        </w:tc>
        <w:tc>
          <w:tcPr>
            <w:tcW w:type="dxa" w:w="4896"/>
            <w:shd w:val="clear" w:color="auto" w:fill="0B3D5C"/>
            <w:tcMar>
              <w:top w:w="70" w:type="dxa"/>
              <w:start w:w="100" w:type="dxa"/>
              <w:bottom w:w="70" w:type="dxa"/>
              <w:end w:w="100" w:type="dxa"/>
            </w:tcMar>
          </w:tcPr>
          <w:p>
            <w:pPr>
              <w:spacing w:after="20"/>
            </w:pPr>
            <w:r/>
            <w:r>
              <w:rPr>
                <w:b/>
                <w:color w:val="FFFFFF"/>
                <w:sz w:val="18"/>
              </w:rPr>
              <w:t>The one sentence</w:t>
            </w:r>
          </w:p>
        </w:tc>
      </w:tr>
      <w:tr>
        <w:tc>
          <w:tcPr>
            <w:tcW w:type="dxa" w:w="4896"/>
            <w:tcMar>
              <w:top w:w="70" w:type="dxa"/>
              <w:start w:w="100" w:type="dxa"/>
              <w:bottom w:w="70" w:type="dxa"/>
              <w:end w:w="100" w:type="dxa"/>
            </w:tcMar>
          </w:tcPr>
          <w:p>
            <w:pPr>
              <w:spacing w:after="20"/>
            </w:pPr>
            <w:r>
              <w:rPr>
                <w:sz w:val="18"/>
              </w:rPr>
            </w:r>
            <w:r>
              <w:rPr>
                <w:b/>
                <w:i w:val="0"/>
                <w:color w:val="0E2B3D"/>
                <w:sz w:val="18"/>
              </w:rPr>
              <w:t>Employees' Compensation Act 2010</w:t>
            </w:r>
          </w:p>
        </w:tc>
        <w:tc>
          <w:tcPr>
            <w:tcW w:type="dxa" w:w="4896"/>
            <w:tcMar>
              <w:top w:w="70" w:type="dxa"/>
              <w:start w:w="100" w:type="dxa"/>
              <w:bottom w:w="70" w:type="dxa"/>
              <w:end w:w="100" w:type="dxa"/>
            </w:tcMar>
          </w:tcPr>
          <w:p>
            <w:pPr>
              <w:spacing w:after="20"/>
            </w:pPr>
            <w:r>
              <w:rPr>
                <w:sz w:val="18"/>
              </w:rPr>
            </w:r>
            <w:r>
              <w:rPr>
                <w:b w:val="0"/>
                <w:i w:val="0"/>
                <w:sz w:val="18"/>
              </w:rPr>
              <w:t>Replaced the old Workmen's Compensation regime; employers contribute to the Employees' Compensation Fund for injury, disability and death at work — confirm the current contribution rate before quoting it.</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Pension Reform Act 2014</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 xml:space="preserve">Mandatory contributory pensions in individual Retirement Savings Accounts with a PFA. The statutory formula in the Act is </w:t>
            </w:r>
            <w:r>
              <w:rPr>
                <w:b/>
                <w:i w:val="0"/>
                <w:color w:val="0E2B3D"/>
                <w:sz w:val="18"/>
              </w:rPr>
              <w:t>8% (employee) + 10% (employer)</w:t>
            </w:r>
            <w:r>
              <w:rPr>
                <w:b w:val="0"/>
                <w:i w:val="0"/>
                <w:sz w:val="18"/>
              </w:rPr>
              <w:t xml:space="preserve"> of emoluments; rates have been under public discussion since 2024 — check current PenCom guidance before citing a number.</w:t>
            </w:r>
          </w:p>
        </w:tc>
      </w:tr>
      <w:tr>
        <w:tc>
          <w:tcPr>
            <w:tcW w:type="dxa" w:w="4896"/>
            <w:tcMar>
              <w:top w:w="70" w:type="dxa"/>
              <w:start w:w="100" w:type="dxa"/>
              <w:bottom w:w="70" w:type="dxa"/>
              <w:end w:w="100" w:type="dxa"/>
            </w:tcMar>
          </w:tcPr>
          <w:p>
            <w:pPr>
              <w:spacing w:after="20"/>
            </w:pPr>
            <w:r>
              <w:rPr>
                <w:sz w:val="18"/>
              </w:rPr>
            </w:r>
            <w:r>
              <w:rPr>
                <w:b/>
                <w:i w:val="0"/>
                <w:color w:val="0E2B3D"/>
                <w:sz w:val="18"/>
              </w:rPr>
              <w:t>National Industrial Court Act 2006</w:t>
            </w:r>
          </w:p>
        </w:tc>
        <w:tc>
          <w:tcPr>
            <w:tcW w:type="dxa" w:w="4896"/>
            <w:tcMar>
              <w:top w:w="70" w:type="dxa"/>
              <w:start w:w="100" w:type="dxa"/>
              <w:bottom w:w="70" w:type="dxa"/>
              <w:end w:w="100" w:type="dxa"/>
            </w:tcMar>
          </w:tcPr>
          <w:p>
            <w:pPr>
              <w:spacing w:after="20"/>
            </w:pPr>
            <w:r>
              <w:rPr>
                <w:sz w:val="18"/>
              </w:rPr>
            </w:r>
            <w:r>
              <w:rPr>
                <w:b w:val="0"/>
                <w:i w:val="0"/>
                <w:sz w:val="18"/>
              </w:rPr>
              <w:t xml:space="preserve">Creates the NICN with </w:t>
            </w:r>
            <w:r>
              <w:rPr>
                <w:b/>
                <w:i w:val="0"/>
                <w:color w:val="0E2B3D"/>
                <w:sz w:val="18"/>
              </w:rPr>
              <w:t>exclusive jurisdiction</w:t>
            </w:r>
            <w:r>
              <w:rPr>
                <w:b w:val="0"/>
                <w:i w:val="0"/>
                <w:sz w:val="18"/>
              </w:rPr>
              <w:t xml:space="preserve"> over labour, employment and industrial-relations matters — the reason "unfair termination" litigation goes there, not the High Court.</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Trade Unions Act / Trade Unions (Amendment) Act 2005</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Legal basis for unions, collective agreements and the "no work, no pay" doctrine; NLC and TUC are the apex centres.</w:t>
            </w:r>
          </w:p>
        </w:tc>
      </w:tr>
      <w:tr>
        <w:tc>
          <w:tcPr>
            <w:tcW w:type="dxa" w:w="4896"/>
            <w:tcMar>
              <w:top w:w="70" w:type="dxa"/>
              <w:start w:w="100" w:type="dxa"/>
              <w:bottom w:w="70" w:type="dxa"/>
              <w:end w:w="100" w:type="dxa"/>
            </w:tcMar>
          </w:tcPr>
          <w:p>
            <w:pPr>
              <w:spacing w:after="20"/>
            </w:pPr>
            <w:r>
              <w:rPr>
                <w:sz w:val="18"/>
              </w:rPr>
            </w:r>
            <w:r>
              <w:rPr>
                <w:b/>
                <w:i w:val="0"/>
                <w:color w:val="0E2B3D"/>
                <w:sz w:val="18"/>
              </w:rPr>
              <w:t>FACT (Prohibition) Act 2007</w:t>
            </w:r>
          </w:p>
        </w:tc>
        <w:tc>
          <w:tcPr>
            <w:tcW w:type="dxa" w:w="4896"/>
            <w:tcMar>
              <w:top w:w="70" w:type="dxa"/>
              <w:start w:w="100" w:type="dxa"/>
              <w:bottom w:w="70" w:type="dxa"/>
              <w:end w:w="100" w:type="dxa"/>
            </w:tcMar>
          </w:tcPr>
          <w:p>
            <w:pPr>
              <w:spacing w:after="20"/>
            </w:pPr>
            <w:r>
              <w:rPr>
                <w:sz w:val="18"/>
              </w:rPr>
            </w:r>
            <w:r>
              <w:rPr>
                <w:b w:val="0"/>
                <w:i w:val="0"/>
                <w:sz w:val="18"/>
              </w:rPr>
              <w:t xml:space="preserve">Outlaws sexual harassment in workplace and educational institutions and requires employers to </w:t>
            </w:r>
            <w:r>
              <w:rPr>
                <w:b/>
                <w:i w:val="0"/>
                <w:color w:val="0E2B3D"/>
                <w:sz w:val="18"/>
              </w:rPr>
              <w:t>prevent and remedy</w:t>
            </w:r>
            <w:r>
              <w:rPr>
                <w:b w:val="0"/>
                <w:i w:val="0"/>
                <w:sz w:val="18"/>
              </w:rPr>
              <w:t xml:space="preserve"> it — this is an HR duty, and a policy you may be asked to draft.</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Discrimination (Prohibition) Act 2025</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Recent, headline-making statute; know that it exists and that it strengthens the case for objective, documented selection criteria.</w:t>
            </w:r>
          </w:p>
        </w:tc>
      </w:tr>
      <w:tr>
        <w:tc>
          <w:tcPr>
            <w:tcW w:type="dxa" w:w="4896"/>
            <w:tcMar>
              <w:top w:w="70" w:type="dxa"/>
              <w:start w:w="100" w:type="dxa"/>
              <w:bottom w:w="70" w:type="dxa"/>
              <w:end w:w="100" w:type="dxa"/>
            </w:tcMar>
          </w:tcPr>
          <w:p>
            <w:pPr>
              <w:spacing w:after="20"/>
            </w:pPr>
            <w:r>
              <w:rPr>
                <w:sz w:val="18"/>
              </w:rPr>
            </w:r>
            <w:r>
              <w:rPr>
                <w:b/>
                <w:i w:val="0"/>
                <w:color w:val="0E2B3D"/>
                <w:sz w:val="18"/>
              </w:rPr>
              <w:t>National Minimum Wage (Amendment) Act 2024</w:t>
            </w:r>
          </w:p>
        </w:tc>
        <w:tc>
          <w:tcPr>
            <w:tcW w:type="dxa" w:w="4896"/>
            <w:tcMar>
              <w:top w:w="70" w:type="dxa"/>
              <w:start w:w="100" w:type="dxa"/>
              <w:bottom w:w="70" w:type="dxa"/>
              <w:end w:w="100" w:type="dxa"/>
            </w:tcMar>
          </w:tcPr>
          <w:p>
            <w:pPr>
              <w:spacing w:after="20"/>
            </w:pPr>
            <w:r>
              <w:rPr>
                <w:sz w:val="18"/>
              </w:rPr>
            </w:r>
            <w:r>
              <w:rPr>
                <w:b w:val="0"/>
                <w:i w:val="0"/>
                <w:sz w:val="18"/>
              </w:rPr>
              <w:t xml:space="preserve">Raised the floor from ₦30,000 to </w:t>
            </w:r>
            <w:r>
              <w:rPr>
                <w:b/>
                <w:i w:val="0"/>
                <w:color w:val="0E2B3D"/>
                <w:sz w:val="18"/>
              </w:rPr>
              <w:t>₦70,000 a month</w:t>
            </w:r>
            <w:r>
              <w:rPr>
                <w:b w:val="0"/>
                <w:i w:val="0"/>
                <w:sz w:val="18"/>
              </w:rPr>
              <w:t xml:space="preserve"> (signed 29 July 2024); </w:t>
            </w:r>
            <w:r>
              <w:rPr>
                <w:b/>
                <w:i w:val="0"/>
                <w:color w:val="0E2B3D"/>
                <w:sz w:val="18"/>
              </w:rPr>
              <w:t>next statutory review due 1 June 2027</w:t>
            </w:r>
            <w:r>
              <w:rPr>
                <w:b w:val="0"/>
                <w:i w:val="0"/>
                <w:sz w:val="18"/>
              </w:rPr>
              <w:t xml:space="preserve"> under the three-year cycle. As of October 2026 no new national figure had been agreed, despite active labour demands. States set their own (higher) rates — but those bind </w:t>
            </w:r>
            <w:r>
              <w:rPr>
                <w:b w:val="0"/>
                <w:i/>
                <w:sz w:val="18"/>
              </w:rPr>
              <w:t>their own</w:t>
            </w:r>
            <w:r>
              <w:rPr>
                <w:b w:val="0"/>
                <w:i w:val="0"/>
                <w:sz w:val="18"/>
              </w:rPr>
              <w:t xml:space="preserve"> civil servants, not private employers.</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Nigeria Data Protection Act 2023 (NDPA)</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 xml:space="preserve">Regulates personal data — including every CV you hold; supervision by the </w:t>
            </w:r>
            <w:r>
              <w:rPr>
                <w:b/>
                <w:i w:val="0"/>
                <w:color w:val="0E2B3D"/>
                <w:sz w:val="18"/>
              </w:rPr>
              <w:t>NDPC</w:t>
            </w:r>
            <w:r>
              <w:rPr>
                <w:b w:val="0"/>
                <w:i w:val="0"/>
                <w:sz w:val="18"/>
              </w:rPr>
              <w:t>. Consent, purpose limitation, retention and breach reporting are your problems the day you touch a candidate database.</w:t>
            </w:r>
          </w:p>
        </w:tc>
      </w:tr>
      <w:tr>
        <w:tc>
          <w:tcPr>
            <w:tcW w:type="dxa" w:w="4896"/>
            <w:tcMar>
              <w:top w:w="70" w:type="dxa"/>
              <w:start w:w="100" w:type="dxa"/>
              <w:bottom w:w="70" w:type="dxa"/>
              <w:end w:w="100" w:type="dxa"/>
            </w:tcMar>
          </w:tcPr>
          <w:p>
            <w:pPr>
              <w:spacing w:after="20"/>
            </w:pPr>
            <w:r>
              <w:rPr>
                <w:sz w:val="18"/>
              </w:rPr>
            </w:r>
            <w:r>
              <w:rPr>
                <w:b/>
                <w:i w:val="0"/>
                <w:color w:val="0E2B3D"/>
                <w:sz w:val="18"/>
              </w:rPr>
              <w:t>Cybercrimes Act 2015 / NITDA Act 2007</w:t>
            </w:r>
          </w:p>
        </w:tc>
        <w:tc>
          <w:tcPr>
            <w:tcW w:type="dxa" w:w="4896"/>
            <w:tcMar>
              <w:top w:w="70" w:type="dxa"/>
              <w:start w:w="100" w:type="dxa"/>
              <w:bottom w:w="70" w:type="dxa"/>
              <w:end w:w="100" w:type="dxa"/>
            </w:tcMar>
          </w:tcPr>
          <w:p>
            <w:pPr>
              <w:spacing w:after="20"/>
            </w:pPr>
            <w:r>
              <w:rPr>
                <w:sz w:val="18"/>
              </w:rPr>
            </w:r>
            <w:r>
              <w:rPr>
                <w:b w:val="0"/>
                <w:i w:val="0"/>
                <w:sz w:val="18"/>
              </w:rPr>
              <w:t>The wider data and security framework you'll hear referenced in HR-tech policies.</w:t>
            </w:r>
          </w:p>
        </w:tc>
      </w:tr>
      <w:tr>
        <w:tc>
          <w:tcPr>
            <w:tcW w:type="dxa" w:w="4896"/>
            <w:tcMar>
              <w:top w:w="70" w:type="dxa"/>
              <w:start w:w="100" w:type="dxa"/>
              <w:bottom w:w="70" w:type="dxa"/>
              <w:end w:w="100" w:type="dxa"/>
            </w:tcMar>
            <w:shd w:val="clear" w:color="auto" w:fill="F6FAFD"/>
          </w:tcPr>
          <w:p>
            <w:pPr>
              <w:spacing w:after="20"/>
            </w:pPr>
            <w:r>
              <w:rPr>
                <w:sz w:val="18"/>
              </w:rPr>
            </w:r>
            <w:r>
              <w:rPr>
                <w:b/>
                <w:i w:val="0"/>
                <w:color w:val="0E2B3D"/>
                <w:sz w:val="18"/>
              </w:rPr>
              <w:t>Pay &amp; allowances in practice</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 xml:space="preserve">PAYE (with housing/ITF components per state rules) is deducted by the employer and remitted to the </w:t>
            </w:r>
            <w:r>
              <w:rPr>
                <w:b/>
                <w:i w:val="0"/>
                <w:color w:val="0E2B3D"/>
                <w:sz w:val="18"/>
              </w:rPr>
              <w:t>state</w:t>
            </w:r>
            <w:r>
              <w:rPr>
                <w:b w:val="0"/>
                <w:i w:val="0"/>
                <w:sz w:val="18"/>
              </w:rPr>
              <w:t xml:space="preserve"> FIRS office, not the LG; a company with 10+ employees or ₦5m+ annual payroll registers with the </w:t>
            </w:r>
            <w:r>
              <w:rPr>
                <w:b/>
                <w:i w:val="0"/>
                <w:color w:val="0E2B3D"/>
                <w:sz w:val="18"/>
              </w:rPr>
              <w:t>ITF</w:t>
            </w:r>
            <w:r>
              <w:rPr>
                <w:b w:val="0"/>
                <w:i w:val="0"/>
                <w:sz w:val="18"/>
              </w:rPr>
              <w:t xml:space="preserve"> and remits 1% of payroll with a matching 1% employee contribution, reimbursed against approved training; the </w:t>
            </w:r>
            <w:r>
              <w:rPr>
                <w:b/>
                <w:i w:val="0"/>
                <w:color w:val="0E2B3D"/>
                <w:sz w:val="18"/>
              </w:rPr>
              <w:t>NSITF</w:t>
            </w:r>
            <w:r>
              <w:rPr>
                <w:b w:val="0"/>
                <w:i w:val="0"/>
                <w:sz w:val="18"/>
              </w:rPr>
              <w:t xml:space="preserve"> levy sits with it. Confirm thresholds with a payroll colleague before quoting — this is where confident beginners get caught out.</w:t>
            </w:r>
          </w:p>
        </w:tc>
      </w:tr>
      <w:tr>
        <w:tc>
          <w:tcPr>
            <w:tcW w:type="dxa" w:w="4896"/>
            <w:tcMar>
              <w:top w:w="70" w:type="dxa"/>
              <w:start w:w="100" w:type="dxa"/>
              <w:bottom w:w="70" w:type="dxa"/>
              <w:end w:w="100" w:type="dxa"/>
            </w:tcMar>
          </w:tcPr>
          <w:p>
            <w:pPr>
              <w:spacing w:after="20"/>
            </w:pPr>
            <w:r>
              <w:rPr>
                <w:sz w:val="18"/>
              </w:rPr>
            </w:r>
            <w:r>
              <w:rPr>
                <w:b/>
                <w:i w:val="0"/>
                <w:color w:val="0E2B3D"/>
                <w:sz w:val="18"/>
              </w:rPr>
              <w:t>NYSC</w:t>
            </w:r>
          </w:p>
        </w:tc>
        <w:tc>
          <w:tcPr>
            <w:tcW w:type="dxa" w:w="4896"/>
            <w:tcMar>
              <w:top w:w="70" w:type="dxa"/>
              <w:start w:w="100" w:type="dxa"/>
              <w:bottom w:w="70" w:type="dxa"/>
              <w:end w:w="100" w:type="dxa"/>
            </w:tcMar>
          </w:tcPr>
          <w:p>
            <w:pPr>
              <w:spacing w:after="20"/>
            </w:pPr>
            <w:r>
              <w:rPr>
                <w:sz w:val="18"/>
              </w:rPr>
            </w:r>
            <w:r>
              <w:rPr>
                <w:b w:val="0"/>
                <w:i w:val="0"/>
                <w:sz w:val="18"/>
              </w:rPr>
              <w:t>One-year mandatory national service for graduates; employers ask for discharge/exemption/deployment certificates, so have yours findable before your first interview.</w:t>
            </w:r>
          </w:p>
        </w:tc>
      </w:tr>
    </w:tbl>
    <w:p/>
    <w:p>
      <w:pPr>
        <w:pStyle w:val="Heading2"/>
        <w:pBdr>
          <w:bottom w:val="single" w:sz="12" w:space="3" w:color="0B3D5C"/>
        </w:pBdr>
      </w:pPr>
      <w:r>
        <w:rPr>
          <w:b/>
          <w:i w:val="0"/>
          <w:color w:val="0B3D5C"/>
        </w:rPr>
        <w:t>4.4 CIPM: THE CREDENTIAL PATH, HANDLED SENSIBLY</w:t>
      </w:r>
    </w:p>
    <w:p>
      <w:r>
        <w:rPr>
          <w:b/>
          <w:i w:val="0"/>
          <w:color w:val="0E2B3D"/>
        </w:rPr>
        <w:t>What it is.</w:t>
      </w:r>
      <w:r>
        <w:rPr>
          <w:b w:val="0"/>
          <w:i w:val="0"/>
        </w:rPr>
        <w:t xml:space="preserve"> The Chartered Institute of Personnel Management of Nigeria — the statutory body for HR practice here. Grades run from Student/Associate through Member to Fellow; most Nigerian employers treat "CIPM" as the marker of a serious HR person.</w:t>
      </w:r>
    </w:p>
    <w:p>
      <w:r>
        <w:rPr>
          <w:b/>
          <w:i w:val="0"/>
          <w:color w:val="0E2B3D"/>
        </w:rPr>
        <w:t>What it costs (from the institute's own pages, check before acting):</w:t>
      </w:r>
      <w:r>
        <w:rPr>
          <w:b w:val="0"/>
          <w:i w:val="0"/>
        </w:rPr>
        <w:t xml:space="preserve"> on the examination route, roughly an </w:t>
      </w:r>
      <w:r>
        <w:rPr>
          <w:b/>
          <w:i w:val="0"/>
          <w:color w:val="0E2B3D"/>
        </w:rPr>
        <w:t>₦10,000 application</w:t>
      </w:r>
      <w:r>
        <w:rPr>
          <w:b w:val="0"/>
          <w:i w:val="0"/>
        </w:rPr>
        <w:t xml:space="preserve"> and </w:t>
      </w:r>
      <w:r>
        <w:rPr>
          <w:b/>
          <w:i w:val="0"/>
          <w:color w:val="0E2B3D"/>
        </w:rPr>
        <w:t>₦12,000 on acceptance</w:t>
      </w:r>
      <w:r>
        <w:rPr>
          <w:b w:val="0"/>
          <w:i w:val="0"/>
        </w:rPr>
        <w:t>, then exam fees per paper/professional stage in the ₦20k–₦70k range; exemption and membership-routes fees are published on the same pages. Third-party blogs quote all-in totals that don't reconcile with the official schedule — trust the institute, not the blog.</w:t>
      </w:r>
    </w:p>
    <w:p>
      <w:pPr>
        <w:pStyle w:val="ListBullet"/>
        <w:spacing w:after="60"/>
      </w:pPr>
      <w:r>
        <w:rPr>
          <w:b w:val="0"/>
          <w:i w:val="0"/>
        </w:rPr>
        <w:t xml:space="preserve">Membership routes: </w:t>
      </w:r>
      <w:hyperlink r:id="rId15">
        <w:r>
          <w:rPr>
            <w:color w:val="1A5C8A"/>
            <w:u w:val="single"/>
          </w:rPr>
          <w:t xml:space="preserve">https://www.cipmnigeria.org/membership/membership-routes/</w:t>
        </w:r>
      </w:hyperlink>
    </w:p>
    <w:p>
      <w:pPr>
        <w:pStyle w:val="ListBullet"/>
        <w:spacing w:after="60"/>
      </w:pPr>
      <w:r>
        <w:rPr>
          <w:b w:val="0"/>
          <w:i w:val="0"/>
        </w:rPr>
        <w:t xml:space="preserve">Learning/exams: </w:t>
      </w:r>
      <w:hyperlink r:id="rId16">
        <w:r>
          <w:rPr>
            <w:color w:val="1A5C8A"/>
            <w:u w:val="single"/>
          </w:rPr>
          <w:t xml:space="preserve">https://www.cipmnigeria.org/learning/</w:t>
        </w:r>
      </w:hyperlink>
    </w:p>
    <w:p>
      <w:r>
        <w:rPr>
          <w:b/>
          <w:i w:val="0"/>
          <w:color w:val="0E2B3D"/>
        </w:rPr>
        <w:t>What to do about it, at your stage:</w:t>
      </w:r>
      <w:r>
        <w:rPr>
          <w:b w:val="0"/>
          <w:i w:val="0"/>
        </w:rPr>
        <w:t xml:space="preserve"> nothing, except read the routes page in Week 1 and keep the </w:t>
      </w:r>
      <w:r>
        <w:rPr>
          <w:b/>
          <w:i w:val="0"/>
          <w:color w:val="0E2B3D"/>
        </w:rPr>
        <w:t>free labour-law study pack</w:t>
      </w:r>
      <w:r>
        <w:rPr>
          <w:b w:val="0"/>
          <w:i w:val="0"/>
        </w:rPr>
        <w:t xml:space="preserve"> open on your desk for Weeks 10–12. You do not need CIPM to be hired as an HR Assistant, Officer, Recruitment Associate or in an agency — you need competence, artefacts and availability.</w:t>
      </w:r>
    </w:p>
    <w:p>
      <w:r>
        <w:rPr>
          <w:b/>
          <w:i w:val="0"/>
          <w:color w:val="0E2B3D"/>
        </w:rPr>
        <w:t>The funding play (this is the actual plan).</w:t>
      </w:r>
      <w:r>
        <w:rPr>
          <w:b w:val="0"/>
          <w:i w:val="0"/>
        </w:rPr>
        <w:t xml:space="preserve"> Around 6–18 months into the job, after you've delivered something measurable, write a one-page case to your manager: cost, what capability it unlocks for the team (compliance confidence, fewer mis-hires, better documented processes), a retention/bond offer, and the note that the organisation already contributes to the ITF and therefore has training machinery. Ask in the second quarter of the year, not the first. If you're at an SME with no budget, CIPM also runs its own events and free webinars — attendance keeps you visible in the profession, which is its own return.</w:t>
      </w:r>
    </w:p>
    <w:p>
      <w:pPr>
        <w:pStyle w:val="Heading2"/>
        <w:pBdr>
          <w:bottom w:val="single" w:sz="12" w:space="3" w:color="0B3D5C"/>
        </w:pBdr>
      </w:pPr>
      <w:r>
        <w:rPr>
          <w:b/>
          <w:i w:val="0"/>
          <w:color w:val="0B3D5C"/>
        </w:rPr>
        <w:t>4.5 HOW TO TALK ABOUT LAW IN AN INTERVIEW (the script)</w:t>
      </w:r>
    </w:p>
    <w:p>
      <w:r>
        <w:rPr>
          <w:b/>
          <w:i w:val="0"/>
          <w:color w:val="0E2B3D"/>
        </w:rPr>
        <w:t>The accuracy rule.</w:t>
      </w:r>
      <w:r>
        <w:rPr>
          <w:b w:val="0"/>
          <w:i w:val="0"/>
        </w:rPr>
        <w:t xml:space="preserve"> Never state a naira figure, percentage or entitlement you have not checked this month. Correct tone:</w:t>
      </w:r>
    </w:p>
    <w:p>
      <w:pPr>
        <w:spacing w:before="120" w:after="200"/>
        <w:ind w:left="202"/>
        <w:shd w:val="clear" w:color="auto" w:fill="EEF6FB"/>
        <w:spacing w:before="60" w:after="60" w:left="130" w:right="130"/>
        <w:pBdr>
          <w:left w:val="single" w:sz="10" w:space="6" w:color="9DC3E6"/>
          <w:top w:val="single" w:sz="10" w:space="6" w:color="9DC3E6"/>
          <w:bottom w:val="single" w:sz="10" w:space="6" w:color="9DC3E6"/>
          <w:right w:val="single" w:sz="10" w:space="6" w:color="9DC3E6"/>
        </w:pBdr>
      </w:pPr>
      <w:r>
        <w:rPr>
          <w:b w:val="0"/>
          <w:i/>
          <w:color w:val="0B3D5C"/>
        </w:rPr>
        <w:t>"As far as I've checked this year, the statutory minimum wage is ₦70,000 a month under the 2024 amendment, and the Act's review cycle puts the next review due June 2027 — so I'd confirm before advising anyone on payroll. For the Labour Act itself, statutory notice runs from one day to one month depending on length of service, and anything a week or longer has to be in writing."</w:t>
      </w:r>
    </w:p>
    <w:p>
      <w:r>
        <w:rPr>
          <w:b w:val="0"/>
          <w:i w:val="0"/>
        </w:rPr>
        <w:t>Dated, sourced, hedged where uncertain. HR managers find this far more impressive than a confident wrong number.</w:t>
      </w:r>
    </w:p>
    <w:p>
      <w:r>
        <w:rPr>
          <w:b/>
          <w:i w:val="0"/>
          <w:color w:val="0E2B3D"/>
        </w:rPr>
        <w:t>The four questions you'll be asked, and the safe answers:</w:t>
      </w:r>
    </w:p>
    <w:p>
      <w:pPr>
        <w:pStyle w:val="ListNumber"/>
        <w:spacing w:after="60"/>
      </w:pPr>
      <w:r>
        <w:rPr>
          <w:b w:val="0"/>
          <w:i/>
        </w:rPr>
        <w:t>"What must an offer letter contain?"</w:t>
      </w:r>
      <w:r>
        <w:rPr>
          <w:b w:val="0"/>
          <w:i w:val="0"/>
        </w:rPr>
        <w:t xml:space="preserve"> — the s.7 particulars list, plus probation terms and reporting line; ideally delivered before or on day one, not within three months.</w:t>
      </w:r>
    </w:p>
    <w:p>
      <w:pPr>
        <w:pStyle w:val="ListNumber"/>
        <w:spacing w:after="60"/>
      </w:pPr>
      <w:r>
        <w:rPr>
          <w:b w:val="0"/>
          <w:i/>
        </w:rPr>
        <w:t>"How do we let someone go?"</w:t>
      </w:r>
      <w:r>
        <w:rPr>
          <w:b w:val="0"/>
          <w:i w:val="0"/>
        </w:rPr>
        <w:t xml:space="preserve"> — check the contract first (it may beat the statutory minimum), give written notice or pay in lieu where the contract allows it, hold a hearing where conduct/performance is the ground, document everything, and pay what's owed (leave, notice, pension, deductions accounted for). Termination without notice or payment in lieu is where employers lose at the NICN.</w:t>
      </w:r>
    </w:p>
    <w:p>
      <w:pPr>
        <w:pStyle w:val="ListNumber"/>
        <w:spacing w:after="60"/>
      </w:pPr>
      <w:r>
        <w:rPr>
          <w:b w:val="0"/>
          <w:i/>
        </w:rPr>
        <w:t>"Someone says they're being harassed by their manager."</w:t>
      </w:r>
      <w:r>
        <w:rPr>
          <w:b w:val="0"/>
          <w:i w:val="0"/>
        </w:rPr>
        <w:t xml:space="preserve"> — FACT Act obligations, no informal "sort it out," written acknowledgement, confidentiality where possible, a fair preliminary inquiry, protection from victimisation, escalate to whoever is independent of the accused.</w:t>
      </w:r>
    </w:p>
    <w:p>
      <w:pPr>
        <w:pStyle w:val="ListNumber"/>
        <w:spacing w:after="60"/>
      </w:pPr>
      <w:r>
        <w:rPr>
          <w:b w:val="0"/>
          <w:i/>
        </w:rPr>
        <w:t>"A candidate emailed 40 CVs; can we keep them on file in case?"</w:t>
      </w:r>
      <w:r>
        <w:rPr>
          <w:b w:val="0"/>
          <w:i w:val="0"/>
        </w:rPr>
        <w:t xml:space="preserve"> — no, not as a habit: purpose limitation and retention under the NDPA. Store in the ATS with a stated purpose, a retention period, and a deletion routine; ask consent for a talent-pool hold, and record it.</w:t>
      </w:r>
    </w:p>
    <w:p>
      <w:r>
        <w:rPr>
          <w:b/>
          <w:i w:val="0"/>
          <w:color w:val="0E2B3D"/>
        </w:rPr>
        <w:t>If you don't know:</w:t>
      </w:r>
      <w:r>
        <w:rPr>
          <w:b w:val="0"/>
          <w:i w:val="0"/>
        </w:rPr>
        <w:t xml:space="preserve"> </w:t>
      </w:r>
      <w:r>
        <w:rPr>
          <w:b w:val="0"/>
          <w:i/>
        </w:rPr>
        <w:t>"I'd need to check the current text and confirm with our pension/HMO vendors before answering that one — I'd rather verify than give you a wrong number."</w:t>
      </w:r>
      <w:r>
        <w:rPr>
          <w:b w:val="0"/>
          <w:i w:val="0"/>
        </w:rPr>
        <w:t xml:space="preserve"> That sentence, said early in a career, is what builds trust.</w:t>
      </w:r>
    </w:p>
    <w:p>
      <w:pPr>
        <w:pStyle w:val="Heading2"/>
        <w:pBdr>
          <w:bottom w:val="single" w:sz="12" w:space="3" w:color="0B3D5C"/>
        </w:pBdr>
      </w:pPr>
      <w:r>
        <w:rPr>
          <w:b/>
          <w:i w:val="0"/>
          <w:color w:val="0B3D5C"/>
        </w:rPr>
        <w:t>SUPPORT A — THE 20 THINGS AN HR/ADMIN ROLE WILL BE ASKED TO DO RIGHT</w:t>
      </w:r>
    </w:p>
    <w:p>
      <w:r>
        <w:rPr>
          <w:b w:val="0"/>
          <w:i w:val="0"/>
        </w:rPr>
        <w:t>So you know what the job actually is while you study the law.</w:t>
      </w:r>
    </w:p>
    <w:p>
      <w:pPr>
        <w:pStyle w:val="ListNumber"/>
        <w:spacing w:after="60"/>
      </w:pPr>
      <w:r>
        <w:rPr>
          <w:b w:val="0"/>
          <w:i w:val="0"/>
        </w:rPr>
        <w:t>Write and publish job adverts; keep a pipeline clean in the ATS.</w:t>
      </w:r>
    </w:p>
    <w:p>
      <w:pPr>
        <w:pStyle w:val="ListNumber"/>
        <w:spacing w:after="60"/>
      </w:pPr>
      <w:r>
        <w:rPr>
          <w:b w:val="0"/>
          <w:i w:val="0"/>
        </w:rPr>
        <w:t>Screen applications; book interviews; send offers and reminders; chase feedback.</w:t>
      </w:r>
    </w:p>
    <w:p>
      <w:pPr>
        <w:pStyle w:val="ListNumber"/>
        <w:spacing w:after="60"/>
      </w:pPr>
      <w:r>
        <w:rPr>
          <w:b w:val="0"/>
          <w:i w:val="0"/>
        </w:rPr>
        <w:t>Prepare onboarding packs: contract/offer letter, s.7-style particulars, ID and NYSC documents, bank details, PFA/PIN/HMO forms, equipment.</w:t>
      </w:r>
    </w:p>
    <w:p>
      <w:pPr>
        <w:pStyle w:val="ListNumber"/>
        <w:spacing w:after="60"/>
      </w:pPr>
      <w:r>
        <w:rPr>
          <w:b w:val="0"/>
          <w:i w:val="0"/>
        </w:rPr>
        <w:t>Maintain employee records and the personnel file standard (what's kept, who can see it, how long).</w:t>
      </w:r>
    </w:p>
    <w:p>
      <w:pPr>
        <w:pStyle w:val="ListNumber"/>
        <w:spacing w:after="60"/>
      </w:pPr>
      <w:r>
        <w:rPr>
          <w:b w:val="0"/>
          <w:i w:val="0"/>
        </w:rPr>
        <w:t>Track attendance, leave and overtime; feed payroll inputs by the cut-off date.</w:t>
      </w:r>
    </w:p>
    <w:p>
      <w:pPr>
        <w:pStyle w:val="ListNumber"/>
        <w:spacing w:after="60"/>
      </w:pPr>
      <w:r>
        <w:rPr>
          <w:b w:val="0"/>
          <w:i w:val="0"/>
        </w:rPr>
        <w:t>Support statutory deductions — PAYE to the state, pension to the PFA, ITF, employees' compensation — with the payroll/vendor team.</w:t>
      </w:r>
    </w:p>
    <w:p>
      <w:pPr>
        <w:pStyle w:val="ListNumber"/>
        <w:spacing w:after="60"/>
      </w:pPr>
      <w:r>
        <w:rPr>
          <w:b w:val="0"/>
          <w:i w:val="0"/>
        </w:rPr>
        <w:t>Run probation reviews and confirmation letters.</w:t>
      </w:r>
    </w:p>
    <w:p>
      <w:pPr>
        <w:pStyle w:val="ListNumber"/>
        <w:spacing w:after="60"/>
      </w:pPr>
      <w:r>
        <w:rPr>
          <w:b w:val="0"/>
          <w:i w:val="0"/>
        </w:rPr>
        <w:t>Handle query emails: leave balance, salary variance, HMO card, pension statement.</w:t>
      </w:r>
    </w:p>
    <w:p>
      <w:pPr>
        <w:pStyle w:val="ListNumber"/>
        <w:spacing w:after="60"/>
      </w:pPr>
      <w:r>
        <w:rPr>
          <w:b w:val="0"/>
          <w:i w:val="0"/>
        </w:rPr>
        <w:t>Coordinate redundancy exercises: notice to the union/worker reps, LIFO-with-merit lists, calculations, exit documentation.</w:t>
      </w:r>
    </w:p>
    <w:p>
      <w:pPr>
        <w:pStyle w:val="ListNumber"/>
        <w:spacing w:after="60"/>
      </w:pPr>
      <w:r>
        <w:rPr>
          <w:b w:val="0"/>
          <w:i w:val="0"/>
        </w:rPr>
        <w:t>Keep the HR calendar: public holidays, leave blackout periods, pension remittance dates, annual returns.</w:t>
      </w:r>
    </w:p>
    <w:p>
      <w:pPr>
        <w:pStyle w:val="ListNumber"/>
        <w:spacing w:after="60"/>
      </w:pPr>
      <w:r>
        <w:rPr>
          <w:b w:val="0"/>
          <w:i w:val="0"/>
        </w:rPr>
        <w:t>Support appraisals: issue templates, chase completion, collate ratings.</w:t>
      </w:r>
    </w:p>
    <w:p>
      <w:pPr>
        <w:pStyle w:val="ListNumber"/>
        <w:spacing w:after="60"/>
      </w:pPr>
      <w:r>
        <w:rPr>
          <w:b w:val="0"/>
          <w:i w:val="0"/>
        </w:rPr>
        <w:t>Draft simple policies (leave, remote work, harassment, data) and log acknowledgements.</w:t>
      </w:r>
    </w:p>
    <w:p>
      <w:pPr>
        <w:pStyle w:val="ListNumber"/>
        <w:spacing w:after="60"/>
      </w:pPr>
      <w:r>
        <w:rPr>
          <w:b w:val="0"/>
          <w:i w:val="0"/>
        </w:rPr>
        <w:t>Maintain the org chart and headcount tracker against budget.</w:t>
      </w:r>
    </w:p>
    <w:p>
      <w:pPr>
        <w:pStyle w:val="ListNumber"/>
        <w:spacing w:after="60"/>
      </w:pPr>
      <w:r>
        <w:rPr>
          <w:b w:val="0"/>
          <w:i w:val="0"/>
        </w:rPr>
        <w:t>Manage staff quarters/loans/advances where the employer offers them — each has approval rules.</w:t>
      </w:r>
    </w:p>
    <w:p>
      <w:pPr>
        <w:pStyle w:val="ListNumber"/>
        <w:spacing w:after="60"/>
      </w:pPr>
      <w:r>
        <w:rPr>
          <w:b w:val="0"/>
          <w:i w:val="0"/>
        </w:rPr>
        <w:t>Compile monthly HR metrics: headcount, hires, exits, time-to-fill, absenteeism, attrition %.</w:t>
      </w:r>
    </w:p>
    <w:p>
      <w:pPr>
        <w:pStyle w:val="ListNumber"/>
        <w:spacing w:after="60"/>
      </w:pPr>
      <w:r>
        <w:rPr>
          <w:b w:val="0"/>
          <w:i w:val="0"/>
        </w:rPr>
        <w:t>Liaise with agencies and outsourced recruiters on requisitions and invoices.</w:t>
      </w:r>
    </w:p>
    <w:p>
      <w:pPr>
        <w:pStyle w:val="ListNumber"/>
        <w:spacing w:after="60"/>
      </w:pPr>
      <w:r>
        <w:rPr>
          <w:b w:val="0"/>
          <w:i w:val="0"/>
        </w:rPr>
        <w:t>Support investigations: chronology, evidence file, interview notes.</w:t>
      </w:r>
    </w:p>
    <w:p>
      <w:pPr>
        <w:pStyle w:val="ListNumber"/>
        <w:spacing w:after="60"/>
      </w:pPr>
      <w:r>
        <w:rPr>
          <w:b w:val="0"/>
          <w:i w:val="0"/>
        </w:rPr>
        <w:t>Handle exit interviews and knowledge-transfer checklists.</w:t>
      </w:r>
    </w:p>
    <w:p>
      <w:pPr>
        <w:pStyle w:val="ListNumber"/>
        <w:spacing w:after="60"/>
      </w:pPr>
      <w:r>
        <w:rPr>
          <w:b w:val="0"/>
          <w:i w:val="0"/>
        </w:rPr>
        <w:t>File and retrieve — audit readiness is a large part of junior HR in Nigeria.</w:t>
      </w:r>
    </w:p>
    <w:p>
      <w:pPr>
        <w:pStyle w:val="ListNumber"/>
        <w:spacing w:after="60"/>
      </w:pPr>
      <w:r>
        <w:rPr>
          <w:b w:val="0"/>
          <w:i w:val="0"/>
        </w:rPr>
        <w:t>Be the person who knows what the documents should look like. (That's a learnable, rare advantage.)</w:t>
      </w:r>
    </w:p>
    <w:p>
      <w:pPr>
        <w:pStyle w:val="Heading2"/>
        <w:pBdr>
          <w:bottom w:val="single" w:sz="12" w:space="3" w:color="0B3D5C"/>
        </w:pBdr>
      </w:pPr>
      <w:r>
        <w:rPr>
          <w:b/>
          <w:i w:val="0"/>
          <w:color w:val="0B3D5C"/>
        </w:rPr>
        <w:t>SUPPORT B — COMMON MISTAKES TO AVOID SAYING</w:t>
      </w:r>
    </w:p>
    <w:tbl>
      <w:tblPr>
        <w:tblStyle w:val="TableGrid"/>
        <w:tblW w:type="auto" w:w="0"/>
        <w:jc w:val="left"/>
        <w:tblLook w:firstColumn="1" w:firstRow="1" w:lastColumn="0" w:lastRow="0" w:noHBand="0" w:noVBand="1" w:val="04A0"/>
        <w:tblBorders>
          <w:top w:val="single" w:sz="4" w:space="0" w:color="D8E0E8"/>
          <w:left w:val="single" w:sz="4" w:space="0" w:color="D8E0E8"/>
          <w:bottom w:val="single" w:sz="4" w:space="0" w:color="D8E0E8"/>
          <w:right w:val="single" w:sz="4" w:space="0" w:color="D8E0E8"/>
          <w:insideH w:val="single" w:sz="4" w:space="0" w:color="D8E0E8"/>
          <w:insideV w:val="single" w:sz="4" w:space="0" w:color="D8E0E8"/>
        </w:tblBorders>
      </w:tblPr>
      <w:tblGrid>
        <w:gridCol w:w="4896"/>
        <w:gridCol w:w="4896"/>
      </w:tblGrid>
      <w:tr>
        <w:tc>
          <w:tcPr>
            <w:tcW w:type="dxa" w:w="4896"/>
            <w:shd w:val="clear" w:color="auto" w:fill="0B3D5C"/>
            <w:tcMar>
              <w:top w:w="70" w:type="dxa"/>
              <w:start w:w="100" w:type="dxa"/>
              <w:bottom w:w="70" w:type="dxa"/>
              <w:end w:w="100" w:type="dxa"/>
            </w:tcMar>
          </w:tcPr>
          <w:p>
            <w:pPr>
              <w:spacing w:after="20"/>
            </w:pPr>
            <w:r/>
            <w:r>
              <w:rPr>
                <w:b/>
                <w:color w:val="FFFFFF"/>
                <w:sz w:val="18"/>
              </w:rPr>
              <w:t>Myth</w:t>
            </w:r>
          </w:p>
        </w:tc>
        <w:tc>
          <w:tcPr>
            <w:tcW w:type="dxa" w:w="4896"/>
            <w:shd w:val="clear" w:color="auto" w:fill="0B3D5C"/>
            <w:tcMar>
              <w:top w:w="70" w:type="dxa"/>
              <w:start w:w="100" w:type="dxa"/>
              <w:bottom w:w="70" w:type="dxa"/>
              <w:end w:w="100" w:type="dxa"/>
            </w:tcMar>
          </w:tcPr>
          <w:p>
            <w:pPr>
              <w:spacing w:after="20"/>
            </w:pPr>
            <w:r/>
            <w:r>
              <w:rPr>
                <w:b/>
                <w:color w:val="FFFFFF"/>
                <w:sz w:val="18"/>
              </w:rPr>
              <w:t>Reality</w:t>
            </w:r>
          </w:p>
        </w:tc>
      </w:tr>
      <w:tr>
        <w:tc>
          <w:tcPr>
            <w:tcW w:type="dxa" w:w="4896"/>
            <w:tcMar>
              <w:top w:w="70" w:type="dxa"/>
              <w:start w:w="100" w:type="dxa"/>
              <w:bottom w:w="70" w:type="dxa"/>
              <w:end w:w="100" w:type="dxa"/>
            </w:tcMar>
          </w:tcPr>
          <w:p>
            <w:pPr>
              <w:spacing w:after="20"/>
            </w:pPr>
            <w:r>
              <w:rPr>
                <w:sz w:val="18"/>
              </w:rPr>
            </w:r>
            <w:r>
              <w:rPr>
                <w:b w:val="0"/>
                <w:i w:val="0"/>
                <w:sz w:val="18"/>
              </w:rPr>
              <w:t>"Nigerian law sets a 40-hour week."</w:t>
            </w:r>
          </w:p>
        </w:tc>
        <w:tc>
          <w:tcPr>
            <w:tcW w:type="dxa" w:w="4896"/>
            <w:tcMar>
              <w:top w:w="70" w:type="dxa"/>
              <w:start w:w="100" w:type="dxa"/>
              <w:bottom w:w="70" w:type="dxa"/>
              <w:end w:w="100" w:type="dxa"/>
            </w:tcMar>
          </w:tcPr>
          <w:p>
            <w:pPr>
              <w:spacing w:after="20"/>
            </w:pPr>
            <w:r>
              <w:rPr>
                <w:sz w:val="18"/>
              </w:rPr>
            </w:r>
            <w:r>
              <w:rPr>
                <w:b w:val="0"/>
                <w:i w:val="0"/>
                <w:sz w:val="18"/>
              </w:rPr>
              <w:t>The Labour Act defers normal hours to agreement/collective bargaining/wages boards (s.13). Sector and state rules can differ.</w:t>
            </w:r>
          </w:p>
        </w:tc>
      </w:tr>
      <w:tr>
        <w:tc>
          <w:tcPr>
            <w:tcW w:type="dxa" w:w="4896"/>
            <w:tcMar>
              <w:top w:w="70" w:type="dxa"/>
              <w:start w:w="100" w:type="dxa"/>
              <w:bottom w:w="70" w:type="dxa"/>
              <w:end w:w="100" w:type="dxa"/>
            </w:tcMar>
            <w:shd w:val="clear" w:color="auto" w:fill="F6FAFD"/>
          </w:tcPr>
          <w:p>
            <w:pPr>
              <w:spacing w:after="20"/>
            </w:pPr>
            <w:r>
              <w:rPr>
                <w:sz w:val="18"/>
              </w:rPr>
            </w:r>
            <w:r>
              <w:rPr>
                <w:b w:val="0"/>
                <w:i w:val="0"/>
                <w:sz w:val="18"/>
              </w:rPr>
              <w:t>"Employees get 5 days' leave."</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 xml:space="preserve">The statutory floor is </w:t>
            </w:r>
            <w:r>
              <w:rPr>
                <w:b/>
                <w:i w:val="0"/>
                <w:color w:val="0E2B3D"/>
                <w:sz w:val="18"/>
              </w:rPr>
              <w:t>at least 6 working days after 12 months</w:t>
            </w:r>
            <w:r>
              <w:rPr>
                <w:b w:val="0"/>
                <w:i w:val="0"/>
                <w:sz w:val="18"/>
              </w:rPr>
              <w:t xml:space="preserve"> (s.18). Most professional employers give more by contract.</w:t>
            </w:r>
          </w:p>
        </w:tc>
      </w:tr>
      <w:tr>
        <w:tc>
          <w:tcPr>
            <w:tcW w:type="dxa" w:w="4896"/>
            <w:tcMar>
              <w:top w:w="70" w:type="dxa"/>
              <w:start w:w="100" w:type="dxa"/>
              <w:bottom w:w="70" w:type="dxa"/>
              <w:end w:w="100" w:type="dxa"/>
            </w:tcMar>
          </w:tcPr>
          <w:p>
            <w:pPr>
              <w:spacing w:after="20"/>
            </w:pPr>
            <w:r>
              <w:rPr>
                <w:sz w:val="18"/>
              </w:rPr>
            </w:r>
            <w:r>
              <w:rPr>
                <w:b w:val="0"/>
                <w:i w:val="0"/>
                <w:sz w:val="18"/>
              </w:rPr>
              <w:t>"Maternity leave is 3 months for everyone."</w:t>
            </w:r>
          </w:p>
        </w:tc>
        <w:tc>
          <w:tcPr>
            <w:tcW w:type="dxa" w:w="4896"/>
            <w:tcMar>
              <w:top w:w="70" w:type="dxa"/>
              <w:start w:w="100" w:type="dxa"/>
              <w:bottom w:w="70" w:type="dxa"/>
              <w:end w:w="100" w:type="dxa"/>
            </w:tcMar>
          </w:tcPr>
          <w:p>
            <w:pPr>
              <w:spacing w:after="20"/>
            </w:pPr>
            <w:r>
              <w:rPr>
                <w:sz w:val="18"/>
              </w:rPr>
            </w:r>
            <w:r>
              <w:rPr>
                <w:b w:val="0"/>
                <w:i w:val="0"/>
                <w:sz w:val="18"/>
              </w:rPr>
              <w:t>The Act's protection is 6 weeks before + 6 weeks after with ≥50% pay for covered workers; many employers give 12–16 weeks fully paid by policy, and public-sector rules differ. Quote the floor, then the policy.</w:t>
            </w:r>
          </w:p>
        </w:tc>
      </w:tr>
      <w:tr>
        <w:tc>
          <w:tcPr>
            <w:tcW w:type="dxa" w:w="4896"/>
            <w:tcMar>
              <w:top w:w="70" w:type="dxa"/>
              <w:start w:w="100" w:type="dxa"/>
              <w:bottom w:w="70" w:type="dxa"/>
              <w:end w:w="100" w:type="dxa"/>
            </w:tcMar>
            <w:shd w:val="clear" w:color="auto" w:fill="F6FAFD"/>
          </w:tcPr>
          <w:p>
            <w:pPr>
              <w:spacing w:after="20"/>
            </w:pPr>
            <w:r>
              <w:rPr>
                <w:sz w:val="18"/>
              </w:rPr>
            </w:r>
            <w:r>
              <w:rPr>
                <w:b w:val="0"/>
                <w:i w:val="0"/>
                <w:sz w:val="18"/>
              </w:rPr>
              <w:t>"Redundancy means you can pick who goes."</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 xml:space="preserve">s.20 requires notice to reps, </w:t>
            </w:r>
            <w:r>
              <w:rPr>
                <w:b/>
                <w:i w:val="0"/>
                <w:color w:val="0E2B3D"/>
                <w:sz w:val="18"/>
              </w:rPr>
              <w:t>LIFO subject to relative merit, skill, ability and reliability</w:t>
            </w:r>
            <w:r>
              <w:rPr>
                <w:b w:val="0"/>
                <w:i w:val="0"/>
                <w:sz w:val="18"/>
              </w:rPr>
              <w:t>, and best endeavours on payments. Documented selection criteria are what defend it.</w:t>
            </w:r>
          </w:p>
        </w:tc>
      </w:tr>
      <w:tr>
        <w:tc>
          <w:tcPr>
            <w:tcW w:type="dxa" w:w="4896"/>
            <w:tcMar>
              <w:top w:w="70" w:type="dxa"/>
              <w:start w:w="100" w:type="dxa"/>
              <w:bottom w:w="70" w:type="dxa"/>
              <w:end w:w="100" w:type="dxa"/>
            </w:tcMar>
          </w:tcPr>
          <w:p>
            <w:pPr>
              <w:spacing w:after="20"/>
            </w:pPr>
            <w:r>
              <w:rPr>
                <w:sz w:val="18"/>
              </w:rPr>
            </w:r>
            <w:r>
              <w:rPr>
                <w:b w:val="0"/>
                <w:i w:val="0"/>
                <w:sz w:val="18"/>
              </w:rPr>
              <w:t>"Two weeks' notice, full stop."</w:t>
            </w:r>
          </w:p>
        </w:tc>
        <w:tc>
          <w:tcPr>
            <w:tcW w:type="dxa" w:w="4896"/>
            <w:tcMar>
              <w:top w:w="70" w:type="dxa"/>
              <w:start w:w="100" w:type="dxa"/>
              <w:bottom w:w="70" w:type="dxa"/>
              <w:end w:w="100" w:type="dxa"/>
            </w:tcMar>
          </w:tcPr>
          <w:p>
            <w:pPr>
              <w:spacing w:after="20"/>
            </w:pPr>
            <w:r>
              <w:rPr>
                <w:sz w:val="18"/>
              </w:rPr>
            </w:r>
            <w:r>
              <w:rPr>
                <w:b w:val="0"/>
                <w:i w:val="0"/>
                <w:sz w:val="18"/>
              </w:rPr>
              <w:t>It's service-dependent (1 day / 1 week / 2 weeks / 1 month) and contracts usually give more.</w:t>
            </w:r>
          </w:p>
        </w:tc>
      </w:tr>
      <w:tr>
        <w:tc>
          <w:tcPr>
            <w:tcW w:type="dxa" w:w="4896"/>
            <w:tcMar>
              <w:top w:w="70" w:type="dxa"/>
              <w:start w:w="100" w:type="dxa"/>
              <w:bottom w:w="70" w:type="dxa"/>
              <w:end w:w="100" w:type="dxa"/>
            </w:tcMar>
            <w:shd w:val="clear" w:color="auto" w:fill="F6FAFD"/>
          </w:tcPr>
          <w:p>
            <w:pPr>
              <w:spacing w:after="20"/>
            </w:pPr>
            <w:r>
              <w:rPr>
                <w:sz w:val="18"/>
              </w:rPr>
            </w:r>
            <w:r>
              <w:rPr>
                <w:b w:val="0"/>
                <w:i w:val="0"/>
                <w:sz w:val="18"/>
              </w:rPr>
              <w:t>"The minimum wage is ₦30,000."</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₦70,000 since the 2024 amendment; states' higher figures apply to their own civil servants.</w:t>
            </w:r>
          </w:p>
        </w:tc>
      </w:tr>
      <w:tr>
        <w:tc>
          <w:tcPr>
            <w:tcW w:type="dxa" w:w="4896"/>
            <w:tcMar>
              <w:top w:w="70" w:type="dxa"/>
              <w:start w:w="100" w:type="dxa"/>
              <w:bottom w:w="70" w:type="dxa"/>
              <w:end w:w="100" w:type="dxa"/>
            </w:tcMar>
          </w:tcPr>
          <w:p>
            <w:pPr>
              <w:spacing w:after="20"/>
            </w:pPr>
            <w:r>
              <w:rPr>
                <w:sz w:val="18"/>
              </w:rPr>
            </w:r>
            <w:r>
              <w:rPr>
                <w:b w:val="0"/>
                <w:i w:val="0"/>
                <w:sz w:val="18"/>
              </w:rPr>
              <w:t>"Pensions are the employer's problem."</w:t>
            </w:r>
          </w:p>
        </w:tc>
        <w:tc>
          <w:tcPr>
            <w:tcW w:type="dxa" w:w="4896"/>
            <w:tcMar>
              <w:top w:w="70" w:type="dxa"/>
              <w:start w:w="100" w:type="dxa"/>
              <w:bottom w:w="70" w:type="dxa"/>
              <w:end w:w="100" w:type="dxa"/>
            </w:tcMar>
          </w:tcPr>
          <w:p>
            <w:pPr>
              <w:spacing w:after="20"/>
            </w:pPr>
            <w:r>
              <w:rPr>
                <w:sz w:val="18"/>
              </w:rPr>
            </w:r>
            <w:r>
              <w:rPr>
                <w:b w:val="0"/>
                <w:i w:val="0"/>
                <w:sz w:val="18"/>
              </w:rPr>
              <w:t>Contributory: both shares, into the employee's RSA. An HR/recruiting person who understands this handles offer conversations far better.</w:t>
            </w:r>
          </w:p>
        </w:tc>
      </w:tr>
      <w:tr>
        <w:tc>
          <w:tcPr>
            <w:tcW w:type="dxa" w:w="4896"/>
            <w:tcMar>
              <w:top w:w="70" w:type="dxa"/>
              <w:start w:w="100" w:type="dxa"/>
              <w:bottom w:w="70" w:type="dxa"/>
              <w:end w:w="100" w:type="dxa"/>
            </w:tcMar>
            <w:shd w:val="clear" w:color="auto" w:fill="F6FAFD"/>
          </w:tcPr>
          <w:p>
            <w:pPr>
              <w:spacing w:after="20"/>
            </w:pPr>
            <w:r>
              <w:rPr>
                <w:sz w:val="18"/>
              </w:rPr>
            </w:r>
            <w:r>
              <w:rPr>
                <w:b w:val="0"/>
                <w:i w:val="0"/>
                <w:sz w:val="18"/>
              </w:rPr>
              <w:t>"Termination only needs a letter."</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Where conduct or performance is the reason, process is everything — hearing, evidence, right to respond. Skipped process is the most common NICN loss.</w:t>
            </w:r>
          </w:p>
        </w:tc>
      </w:tr>
      <w:tr>
        <w:tc>
          <w:tcPr>
            <w:tcW w:type="dxa" w:w="4896"/>
            <w:tcMar>
              <w:top w:w="70" w:type="dxa"/>
              <w:start w:w="100" w:type="dxa"/>
              <w:bottom w:w="70" w:type="dxa"/>
              <w:end w:w="100" w:type="dxa"/>
            </w:tcMar>
          </w:tcPr>
          <w:p>
            <w:pPr>
              <w:spacing w:after="20"/>
            </w:pPr>
            <w:r>
              <w:rPr>
                <w:sz w:val="18"/>
              </w:rPr>
            </w:r>
            <w:r>
              <w:rPr>
                <w:b w:val="0"/>
                <w:i w:val="0"/>
                <w:sz w:val="18"/>
              </w:rPr>
              <w:t>"We can keep all CVs forever."</w:t>
            </w:r>
          </w:p>
        </w:tc>
        <w:tc>
          <w:tcPr>
            <w:tcW w:type="dxa" w:w="4896"/>
            <w:tcMar>
              <w:top w:w="70" w:type="dxa"/>
              <w:start w:w="100" w:type="dxa"/>
              <w:bottom w:w="70" w:type="dxa"/>
              <w:end w:w="100" w:type="dxa"/>
            </w:tcMar>
          </w:tcPr>
          <w:p>
            <w:pPr>
              <w:spacing w:after="20"/>
            </w:pPr>
            <w:r>
              <w:rPr>
                <w:sz w:val="18"/>
              </w:rPr>
            </w:r>
            <w:r>
              <w:rPr>
                <w:b w:val="0"/>
                <w:i w:val="0"/>
                <w:sz w:val="18"/>
              </w:rPr>
              <w:t>Retention and purpose limits apply under the NDPA; a talent pool needs a stated purpose and an expiry.</w:t>
            </w:r>
          </w:p>
        </w:tc>
      </w:tr>
      <w:tr>
        <w:tc>
          <w:tcPr>
            <w:tcW w:type="dxa" w:w="4896"/>
            <w:tcMar>
              <w:top w:w="70" w:type="dxa"/>
              <w:start w:w="100" w:type="dxa"/>
              <w:bottom w:w="70" w:type="dxa"/>
              <w:end w:w="100" w:type="dxa"/>
            </w:tcMar>
            <w:shd w:val="clear" w:color="auto" w:fill="F6FAFD"/>
          </w:tcPr>
          <w:p>
            <w:pPr>
              <w:spacing w:after="20"/>
            </w:pPr>
            <w:r>
              <w:rPr>
                <w:sz w:val="18"/>
              </w:rPr>
            </w:r>
            <w:r>
              <w:rPr>
                <w:b w:val="0"/>
                <w:i w:val="0"/>
                <w:sz w:val="18"/>
              </w:rPr>
              <w:t>"Any recruiter can legally charge me for a job."</w:t>
            </w:r>
          </w:p>
        </w:tc>
        <w:tc>
          <w:tcPr>
            <w:tcW w:type="dxa" w:w="4896"/>
            <w:tcMar>
              <w:top w:w="70" w:type="dxa"/>
              <w:start w:w="100" w:type="dxa"/>
              <w:bottom w:w="70" w:type="dxa"/>
              <w:end w:w="100" w:type="dxa"/>
            </w:tcMar>
            <w:shd w:val="clear" w:color="auto" w:fill="F6FAFD"/>
          </w:tcPr>
          <w:p>
            <w:pPr>
              <w:spacing w:after="20"/>
            </w:pPr>
            <w:r>
              <w:rPr>
                <w:sz w:val="18"/>
              </w:rPr>
            </w:r>
            <w:r>
              <w:rPr>
                <w:b w:val="0"/>
                <w:i w:val="0"/>
                <w:sz w:val="18"/>
              </w:rPr>
              <w:t>Fee-charging employment agencies are regulated (Act Part on employment exchanges/agencies), and legitimate employers never charge candidates.</w:t>
            </w:r>
          </w:p>
        </w:tc>
      </w:tr>
    </w:tbl>
    <w:p/>
    <w:p>
      <w:pPr>
        <w:pStyle w:val="Heading2"/>
        <w:pBdr>
          <w:bottom w:val="single" w:sz="12" w:space="3" w:color="0B3D5C"/>
        </w:pBdr>
      </w:pPr>
      <w:r>
        <w:rPr>
          <w:b/>
          <w:i w:val="0"/>
          <w:color w:val="0B3D5C"/>
        </w:rPr>
        <w:t>SUPPORT C — YOUR ONE-PAGE LAW CARD</w:t>
      </w:r>
    </w:p>
    <w:p>
      <w:r>
        <w:rPr>
          <w:b w:val="0"/>
          <w:i w:val="0"/>
        </w:rPr>
        <w:t>Write this by hand, once. It fixes the whole document.</w:t>
      </w:r>
    </w:p>
    <w:p>
      <w:pPr>
        <w:spacing w:after="0" w:line="240" w:lineRule="auto"/>
        <w:ind w:left="202" w:right="72"/>
        <w:shd w:val="clear" w:color="auto" w:fill="F4F7FA"/>
        <w:spacing w:before="60" w:after="60" w:left="120" w:right="120"/>
        <w:pBdr>
          <w:left w:val="single" w:sz="6" w:space="4" w:color="D8E0E8"/>
          <w:top w:val="single" w:sz="6" w:space="4" w:color="D8E0E8"/>
          <w:right w:val="single" w:sz="6" w:space="4" w:color="D8E0E8"/>
        </w:pBdr>
      </w:pPr>
      <w:r>
        <w:rPr>
          <w:rFonts w:ascii="Consolas" w:hAnsi="Consolas"/>
          <w:color w:val="0E2B3D"/>
          <w:sz w:val="17"/>
        </w:rPr>
        <w:t>WHO IS COVERED   "worker" under the Act; administrative/executive/technical/professional</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staff largely governed by contract + policy</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s.7   Written statement within 3 months: parties, nature of job, start date,</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fixed-term end, notice, wages + periodicity, hours, leave, conditions</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s.11  Notice: 1 day (&lt;=3m) | 1 week (&gt;3m-&lt;2y) | 2 weeks (2-&lt;5y) | 1 month (&gt;=5y)</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&gt;= 1 week must be IN WRITING; day of notice excluded</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s.13  Hours by agreement / collective bargaining / wages board; excess = overtime</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s.16  Sick leave: up to 12 working days' paid wages per calendar year,</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certified temporary illness, contract subsisting</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s.18  Annual leave: &gt;= 6 working days full pay after 12 months (12 days if under 16);</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no cash in lieu while employed</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s.20  Redundancy = involuntary permanent loss from excess manpower;</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inform union/reps; LIFO subject to merit, skill, ability, reliability;</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best endeavours on redundancy payments</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s.54  Maternity: leave on 6-week medical certificate; no work 6 weeks after;</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&gt;= 50% pay if 6+ months' service; 30 min x 2 for nursing</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PART II Recruiting regulated: employer permits, recruiter licences (ss.23-33)</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ss.68-71 Employer registration, labour schemes, employment exchanges,</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fee-charging agencies</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CONTEXT   NICN = exclusive jurisdiction over labour disputes</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Pension Reform Act 2014 (8% + 10%; verify current)</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Employees' Compensation Act 2010 · FACT Act 2007</w:t>
      </w:r>
    </w:p>
    <w:p>
      <w:pPr>
        <w:spacing w:after="0" w:line="240" w:lineRule="auto"/>
        <w:ind w:left="202" w:right="72"/>
        <w:shd w:val="clear" w:color="auto" w:fill="F4F7FA"/>
        <w:spacing w:before="60" w:after="60" w:left="120" w:right="120"/>
        <w:pBdr>
          <w:left w:val="single" w:sz="6" w:space="4" w:color="D8E0E8"/>
          <w:right w:val="single" w:sz="6" w:space="4" w:color="D8E0E8"/>
        </w:pBdr>
      </w:pPr>
      <w:r>
        <w:rPr>
          <w:rFonts w:ascii="Consolas" w:hAnsi="Consolas"/>
          <w:color w:val="0E2B3D"/>
          <w:sz w:val="17"/>
        </w:rPr>
        <w:t xml:space="preserve">          NDPA 2023 (candidate + employee data)</w:t>
      </w:r>
    </w:p>
    <w:p>
      <w:pPr>
        <w:spacing w:after="160" w:line="240" w:lineRule="auto"/>
        <w:ind w:left="202" w:right="72"/>
        <w:shd w:val="clear" w:color="auto" w:fill="F4F7FA"/>
        <w:spacing w:before="60" w:after="60" w:left="120" w:right="120"/>
        <w:pBdr>
          <w:left w:val="single" w:sz="6" w:space="4" w:color="D8E0E8"/>
          <w:right w:val="single" w:sz="6" w:space="4" w:color="D8E0E8"/>
          <w:bottom w:val="single" w:sz="6" w:space="4" w:color="D8E0E8"/>
        </w:pBdr>
      </w:pPr>
      <w:r>
        <w:rPr>
          <w:rFonts w:ascii="Consolas" w:hAnsi="Consolas"/>
          <w:color w:val="0E2B3D"/>
          <w:sz w:val="17"/>
        </w:rPr>
        <w:t xml:space="preserve">          Minimum wage ₦70,000/month (2024 Act) · review due 1 Jun 2027</w:t>
      </w:r>
    </w:p>
    <w:p>
      <w:r>
        <w:rPr>
          <w:b/>
          <w:i w:val="0"/>
          <w:color w:val="0E2B3D"/>
        </w:rPr>
        <w:t>Sources checked 20 October 2026.</w:t>
      </w:r>
      <w:r>
        <w:rPr>
          <w:b w:val="0"/>
          <w:i w:val="0"/>
        </w:rPr>
        <w:t xml:space="preserve"> The Act does not change often; regulations, wages and rates do. If you are advising an employer on anything here, confirm against the current consolidated text and the responsible agency.</w:t>
      </w:r>
    </w:p>
    <w:sectPr w:rsidR="00FC693F" w:rsidRPr="0006063C" w:rsidSect="00034616">
      <w:footerReference w:type="default" r:id="rId17"/>
      <w:pgSz w:w="12240" w:h="15840"/>
      <w:pgMar w:top="1008"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hd w:val="clear" w:color="auto" w:fill="E8F0F7"/>
      <w:pStyle w:val="Footer"/>
      <w:jc w:val="center"/>
      <w:pBdr>
        <w:top w:val="single" w:sz="6" w:space="4" w:color="E8F0F7"/>
      </w:pBdr>
    </w:pPr>
    <w:r>
      <w:rPr>
        <w:color w:val="5B6B7A"/>
        <w:sz w:val="16"/>
      </w:rPr>
      <w:t xml:space="preserve">  Document 4 — Nigeria: Labour Law &amp; CIPM  ·  page </w:t>
    </w: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B3D5C"/>
      <w:sz w:val="4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B3D5C"/>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B3D5C"/>
      <w:sz w:val="25"/>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Calibri" w:hAnsi="Calibri"/>
      <w:b/>
      <w:bCs/>
      <w:i/>
      <w:iCs/>
      <w:color w:val="12628F"/>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FFFFF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awsofnigeria.placng.org/laws/L1.pdf" TargetMode="External"/><Relationship Id="rId10" Type="http://schemas.openxmlformats.org/officeDocument/2006/relationships/hyperlink" Target="https://www.cipmnigeria.org/wp-content/uploads/2024/07/NIGERIAN-LABOUR-LAW.pdf" TargetMode="External"/><Relationship Id="rId11" Type="http://schemas.openxmlformats.org/officeDocument/2006/relationships/hyperlink" Target="https://nicn.gov.ng/" TargetMode="External"/><Relationship Id="rId12" Type="http://schemas.openxmlformats.org/officeDocument/2006/relationships/hyperlink" Target="https://labour.gov.ng/" TargetMode="External"/><Relationship Id="rId13" Type="http://schemas.openxmlformats.org/officeDocument/2006/relationships/hyperlink" Target="https://ndpc.gov.ng/" TargetMode="External"/><Relationship Id="rId14" Type="http://schemas.openxmlformats.org/officeDocument/2006/relationships/hyperlink" Target="https://www.pencom.gov.ng/" TargetMode="External"/><Relationship Id="rId15" Type="http://schemas.openxmlformats.org/officeDocument/2006/relationships/hyperlink" Target="https://www.cipmnigeria.org/membership/membership-routes/" TargetMode="External"/><Relationship Id="rId16" Type="http://schemas.openxmlformats.org/officeDocument/2006/relationships/hyperlink" Target="https://www.cipmnigeria.org/learning/"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