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jc w:val="center"/>
      </w:pPr>
      <w:r>
        <w:rPr>
          <w:rFonts w:ascii="Arial" w:cs="Arial" w:eastAsia="Arial" w:hAnsi="Arial"/>
          <w:b/>
          <w:bCs/>
          <w:color w:val="C8840A"/>
          <w:spacing w:val="300"/>
          <w:sz w:val="20"/>
          <w:szCs w:val="20"/>
        </w:rPr>
        <w:t xml:space="preserve">MTN NIGERIA</w:t>
      </w:r>
    </w:p>
    <w:p>
      <w:pPr>
        <w:spacing w:after="160"/>
        <w:jc w:val="center"/>
      </w:pPr>
      <w:r>
        <w:rPr>
          <w:rFonts w:ascii="Cambria" w:cs="Cambria" w:eastAsia="Cambria" w:hAnsi="Cambria"/>
          <w:b/>
          <w:bCs/>
          <w:color w:val="0D1B40"/>
          <w:sz w:val="52"/>
          <w:szCs w:val="52"/>
        </w:rPr>
        <w:t xml:space="preserve">Customer Churn Analysis Report</w:t>
      </w:r>
    </w:p>
    <w:p>
      <w:pPr>
        <w:pBdr>
          <w:bottom w:val="single" w:color="C8840A" w:sz="6" w:space="1"/>
        </w:pBdr>
        <w:spacing w:after="200"/>
        <w:jc w:val="center"/>
      </w:pPr>
      <w:r>
        <w:rPr>
          <w:rFonts w:ascii="Arial" w:cs="Arial" w:eastAsia="Arial" w:hAnsi="Arial"/>
          <w:color w:val="4A5568"/>
          <w:sz w:val="24"/>
          <w:szCs w:val="24"/>
        </w:rPr>
        <w:t xml:space="preserve">A Data-Driven Study of Customer Attrition, Revenue Impact &amp; Strategic Recovery</w:t>
      </w:r>
    </w:p>
    <w:p>
      <w:pPr>
        <w:spacing w:after="80"/>
        <w:jc w:val="center"/>
      </w:pPr>
      <w:r>
        <w:rPr>
          <w:rFonts w:ascii="Arial" w:cs="Arial" w:eastAsia="Arial" w:hAnsi="Arial"/>
          <w:color w:val="4A5568"/>
          <w:sz w:val="21"/>
          <w:szCs w:val="21"/>
        </w:rPr>
        <w:t xml:space="preserve">Prepared by: </w:t>
      </w:r>
      <w:r>
        <w:rPr>
          <w:rFonts w:ascii="Arial" w:cs="Arial" w:eastAsia="Arial" w:hAnsi="Arial"/>
          <w:b/>
          <w:bCs/>
          <w:color w:val="0D1B40"/>
          <w:sz w:val="21"/>
          <w:szCs w:val="21"/>
        </w:rPr>
        <w:t xml:space="preserve">EMS TECHSphere Analytics</w:t>
      </w:r>
    </w:p>
    <w:p>
      <w:pPr>
        <w:spacing w:after="80"/>
        <w:jc w:val="center"/>
      </w:pPr>
      <w:r>
        <w:rPr>
          <w:rFonts w:ascii="Arial" w:cs="Arial" w:eastAsia="Arial" w:hAnsi="Arial"/>
          <w:color w:val="4A5568"/>
          <w:sz w:val="20"/>
          <w:szCs w:val="20"/>
        </w:rPr>
        <w:t xml:space="preserve">Analyst: Mike Okereke  |  Data Period: January – March 2025  |  Records: 974 Customers</w:t>
      </w:r>
    </w:p>
    <w:p>
      <w:pPr>
        <w:spacing w:after="480"/>
        <w:jc w:val="center"/>
      </w:pPr>
      <w:r>
        <w:rPr>
          <w:rFonts w:ascii="Arial" w:cs="Arial" w:eastAsia="Arial" w:hAnsi="Arial"/>
          <w:b/>
          <w:bCs/>
          <w:color w:val="C53030"/>
          <w:sz w:val="20"/>
          <w:szCs w:val="20"/>
        </w:rPr>
        <w:t xml:space="preserve">Classification: Confidential</w:t>
      </w:r>
    </w:p>
    <w:p>
      <w:pPr>
        <w:spacing w:after="0"/>
      </w:pPr>
      <w:r>
        <w:br w:type="page"/>
      </w:r>
    </w:p>
    <w:p>
      <w:pPr>
        <w:pStyle w:val="Heading1"/>
        <w:spacing w:after="120" w:before="360"/>
      </w:pPr>
      <w:r>
        <w:rPr>
          <w:rFonts w:ascii="Arial" w:cs="Arial" w:eastAsia="Arial" w:hAnsi="Arial"/>
          <w:b/>
          <w:bCs/>
          <w:color w:val="0D1B40"/>
          <w:sz w:val="32"/>
          <w:szCs w:val="32"/>
        </w:rPr>
        <w:t xml:space="preserve">1. Executive Summary</w:t>
      </w:r>
    </w:p>
    <w:p>
      <w:pPr>
        <w:pBdr>
          <w:bottom w:val="single" w:color="C8840A" w:sz="6" w:space="1"/>
        </w:pBdr>
        <w:spacing w:after="100" w:before="100"/>
      </w:pPr>
    </w:p>
    <w:p>
      <w:pPr>
        <w:spacing w:after="120"/>
      </w:pPr>
      <w:r>
        <w:rPr>
          <w:rFonts w:ascii="Arial" w:cs="Arial" w:eastAsia="Arial" w:hAnsi="Arial"/>
          <w:color w:val="1A202C"/>
          <w:sz w:val="22"/>
          <w:szCs w:val="22"/>
        </w:rPr>
        <w:t xml:space="preserve">This report presents a comprehensive analysis of customer churn behaviour across 974 MTN Nigeria subscribers during Q1 2025 (January to March). Leveraging transactional, demographic, and behavioural data, this study identifies the primary drivers of customer attrition, quantifies the revenue impact, and provides actionable recommendations to reduce churn and improve customer retention.</w:t>
      </w:r>
    </w:p>
    <w:p>
      <w:pPr>
        <w:spacing w:after="120"/>
      </w:pPr>
      <w:r>
        <w:rPr>
          <w:rFonts w:ascii="Arial" w:cs="Arial" w:eastAsia="Arial" w:hAnsi="Arial"/>
          <w:color w:val="1A202C"/>
          <w:sz w:val="22"/>
          <w:szCs w:val="22"/>
        </w:rPr>
        <w:t xml:space="preserve">The analysis reveals a 29.2% overall churn rate — significantly above the telecommunications industry average of approximately 20% — resulting in ₦58 million in lost revenue for the quarter. The leading causes of churn are high call tariffs, competitive alternatives, poor network quality, and costly data plans, with Adamawa, Imo, and Kebbi emerging as geographic hotspots requiring urgent attention.</w:t>
      </w:r>
    </w:p>
    <w:p>
      <w:pPr>
        <w:spacing w:after="80"/>
      </w:pPr>
    </w:p>
    <w:p>
      <w:pPr>
        <w:pStyle w:val="Heading2"/>
        <w:spacing w:after="80" w:before="240"/>
      </w:pPr>
      <w:r>
        <w:rPr>
          <w:rFonts w:ascii="Arial" w:cs="Arial" w:eastAsia="Arial" w:hAnsi="Arial"/>
          <w:b/>
          <w:bCs/>
          <w:color w:val="0D1B40"/>
          <w:sz w:val="26"/>
          <w:szCs w:val="26"/>
        </w:rPr>
        <w:t xml:space="preserve">1.1 Key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Metric</w:t>
            </w:r>
          </w:p>
        </w:tc>
        <w:tc>
          <w:tcPr>
            <w:tcW w:type="dxa" w:w="468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Value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Total Customers Analysed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974</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Customers Churned (Q1 2025)</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284 (29.2%)</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Customers Retained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690 (70.8%)</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Total Revenue Generated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₦199,348,200</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Revenue from Churned Customers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₦58,000,200 (29.1%)</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Revenue from Retained Customers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₦141,348,000 (70.9%)</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Average Tenure — Churned Customers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33.1 months</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Average Tenure — Retained Customers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30.7 months</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Avg Satisfaction Score — Churned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3.05 / 5.0</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Avg Satisfaction Score — Retained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2.91 / 5.0</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Highest Churn State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Adamawa (61.1%)</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Most At-Risk Age Group</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36–45 years (36.6% churn rate)</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Most At-Risk Device</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Mobile SIM Card (31.2% churn rate)</w:t>
            </w:r>
          </w:p>
        </w:tc>
      </w:tr>
    </w:tbl>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40A" w:sz="4"/>
              <w:left w:val="thick" w:color="C8840A" w:sz="12"/>
              <w:bottom w:val="single" w:color="C8840A" w:sz="4"/>
              <w:right w:val="none" w:color="FFFFFF" w:sz="0"/>
            </w:tcBorders>
            <w:shd w:fill="FFFBF0" w:val="clear"/>
            <w:tcMar>
              <w:top w:type="dxa" w:w="120"/>
              <w:left w:type="dxa" w:w="180"/>
              <w:bottom w:type="dxa" w:w="120"/>
              <w:right w:type="dxa" w:w="120"/>
            </w:tcMar>
          </w:tcPr>
          <w:p>
            <w:pPr>
              <w:spacing w:after="60"/>
            </w:pPr>
            <w:r>
              <w:rPr>
                <w:rFonts w:ascii="Arial" w:cs="Arial" w:eastAsia="Arial" w:hAnsi="Arial"/>
                <w:b/>
                <w:bCs/>
                <w:color w:val="C8840A"/>
                <w:sz w:val="20"/>
                <w:szCs w:val="20"/>
              </w:rPr>
              <w:t xml:space="preserve">KEY INSIGHT</w:t>
            </w:r>
          </w:p>
          <w:p>
            <w:pPr>
              <w:spacing w:after="0"/>
            </w:pPr>
            <w:r>
              <w:rPr>
                <w:rFonts w:ascii="Arial" w:cs="Arial" w:eastAsia="Arial" w:hAnsi="Arial"/>
                <w:color w:val="5C4A00"/>
                <w:sz w:val="21"/>
                <w:szCs w:val="21"/>
              </w:rPr>
              <w:t xml:space="preserve">Despite churned customers having a marginally higher satisfaction score (3.05 vs 2.91), they show longer tenures before leaving — 33.1 months versus 30.7 months. This suggests dissatisfaction accumulates gradually over time before customers reach a tipping point and switch providers.</w:t>
            </w:r>
          </w:p>
        </w:tc>
      </w:tr>
    </w:tbl>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2. Project Background &amp; Objectives</w:t>
      </w:r>
    </w:p>
    <w:p>
      <w:pPr>
        <w:pBdr>
          <w:bottom w:val="single" w:color="C8840A" w:sz="6" w:space="1"/>
        </w:pBdr>
        <w:spacing w:after="100" w:before="100"/>
      </w:pPr>
    </w:p>
    <w:p>
      <w:pPr>
        <w:spacing w:after="120"/>
      </w:pPr>
      <w:r>
        <w:rPr>
          <w:rFonts w:ascii="Arial" w:cs="Arial" w:eastAsia="Arial" w:hAnsi="Arial"/>
          <w:color w:val="1A202C"/>
          <w:sz w:val="22"/>
          <w:szCs w:val="22"/>
        </w:rPr>
        <w:t xml:space="preserve">MTN Nigeria, as one of the country’s largest telecommunications providers, operates in a highly competitive market where subscriber retention directly impacts long-term profitability. Understanding why customers leave and when they are most at risk enables the organisation to deploy proactive retention strategies rather than reactive ones.</w:t>
      </w:r>
    </w:p>
    <w:p>
      <w:pPr>
        <w:pStyle w:val="Heading2"/>
        <w:spacing w:after="80" w:before="240"/>
      </w:pPr>
      <w:r>
        <w:rPr>
          <w:rFonts w:ascii="Arial" w:cs="Arial" w:eastAsia="Arial" w:hAnsi="Arial"/>
          <w:b/>
          <w:bCs/>
          <w:color w:val="0D1B40"/>
          <w:sz w:val="26"/>
          <w:szCs w:val="26"/>
        </w:rPr>
        <w:t xml:space="preserve">2.1 Project Objectives</w:t>
      </w:r>
    </w:p>
    <w:p>
      <w:pPr>
        <w:pStyle w:val="ListParagraph"/>
        <w:numPr>
          <w:ilvl w:val="0"/>
          <w:numId w:val="2"/>
        </w:numPr>
        <w:spacing w:after="80"/>
      </w:pPr>
      <w:r>
        <w:rPr>
          <w:rFonts w:ascii="Arial" w:cs="Arial" w:eastAsia="Arial" w:hAnsi="Arial"/>
          <w:b w:val="false"/>
          <w:bCs w:val="false"/>
          <w:color w:val="1A202C"/>
          <w:sz w:val="22"/>
          <w:szCs w:val="22"/>
        </w:rPr>
        <w:t xml:space="preserve">Quantify the overall customer churn rate for Q1 2025 and its financial impact.</w:t>
      </w:r>
    </w:p>
    <w:p>
      <w:pPr>
        <w:pStyle w:val="ListParagraph"/>
        <w:numPr>
          <w:ilvl w:val="0"/>
          <w:numId w:val="2"/>
        </w:numPr>
        <w:spacing w:after="80"/>
      </w:pPr>
      <w:r>
        <w:rPr>
          <w:rFonts w:ascii="Arial" w:cs="Arial" w:eastAsia="Arial" w:hAnsi="Arial"/>
          <w:b w:val="false"/>
          <w:bCs w:val="false"/>
          <w:color w:val="1A202C"/>
          <w:sz w:val="22"/>
          <w:szCs w:val="22"/>
        </w:rPr>
        <w:t xml:space="preserve">Identify the primary drivers and stated reasons for customer churn.</w:t>
      </w:r>
    </w:p>
    <w:p>
      <w:pPr>
        <w:pStyle w:val="ListParagraph"/>
        <w:numPr>
          <w:ilvl w:val="0"/>
          <w:numId w:val="2"/>
        </w:numPr>
        <w:spacing w:after="80"/>
      </w:pPr>
      <w:r>
        <w:rPr>
          <w:rFonts w:ascii="Arial" w:cs="Arial" w:eastAsia="Arial" w:hAnsi="Arial"/>
          <w:b w:val="false"/>
          <w:bCs w:val="false"/>
          <w:color w:val="1A202C"/>
          <w:sz w:val="22"/>
          <w:szCs w:val="22"/>
        </w:rPr>
        <w:t xml:space="preserve">Analyse churn distribution across states, subscription plans, device types, and demographics.</w:t>
      </w:r>
    </w:p>
    <w:p>
      <w:pPr>
        <w:pStyle w:val="ListParagraph"/>
        <w:numPr>
          <w:ilvl w:val="0"/>
          <w:numId w:val="2"/>
        </w:numPr>
        <w:spacing w:after="80"/>
      </w:pPr>
      <w:r>
        <w:rPr>
          <w:rFonts w:ascii="Arial" w:cs="Arial" w:eastAsia="Arial" w:hAnsi="Arial"/>
          <w:b w:val="false"/>
          <w:bCs w:val="false"/>
          <w:color w:val="1A202C"/>
          <w:sz w:val="22"/>
          <w:szCs w:val="22"/>
        </w:rPr>
        <w:t xml:space="preserve">Assess the revenue at risk and the relative value of retained versus lost customers.</w:t>
      </w:r>
    </w:p>
    <w:p>
      <w:pPr>
        <w:pStyle w:val="ListParagraph"/>
        <w:numPr>
          <w:ilvl w:val="0"/>
          <w:numId w:val="2"/>
        </w:numPr>
        <w:spacing w:after="80"/>
      </w:pPr>
      <w:r>
        <w:rPr>
          <w:rFonts w:ascii="Arial" w:cs="Arial" w:eastAsia="Arial" w:hAnsi="Arial"/>
          <w:b w:val="false"/>
          <w:bCs w:val="false"/>
          <w:color w:val="1A202C"/>
          <w:sz w:val="22"/>
          <w:szCs w:val="22"/>
        </w:rPr>
        <w:t xml:space="preserve">Provide evidence-based recommendations to reduce churn and improve customer lifetime value.</w:t>
      </w:r>
    </w:p>
    <w:p>
      <w:pPr>
        <w:spacing w:after="80"/>
      </w:pPr>
    </w:p>
    <w:p>
      <w:pPr>
        <w:pStyle w:val="Heading2"/>
        <w:spacing w:after="80" w:before="240"/>
      </w:pPr>
      <w:r>
        <w:rPr>
          <w:rFonts w:ascii="Arial" w:cs="Arial" w:eastAsia="Arial" w:hAnsi="Arial"/>
          <w:b/>
          <w:bCs/>
          <w:color w:val="0D1B40"/>
          <w:sz w:val="26"/>
          <w:szCs w:val="26"/>
        </w:rPr>
        <w:t xml:space="preserve">2.2 Data Overview</w:t>
      </w:r>
    </w:p>
    <w:p>
      <w:pPr>
        <w:spacing w:after="120"/>
      </w:pPr>
      <w:r>
        <w:rPr>
          <w:rFonts w:ascii="Arial" w:cs="Arial" w:eastAsia="Arial" w:hAnsi="Arial"/>
          <w:color w:val="1A202C"/>
          <w:sz w:val="22"/>
          <w:szCs w:val="22"/>
        </w:rPr>
        <w:t xml:space="preserve">The dataset consists of 974 unique customer records sourced from MTN Nigeria’s internal customer management system for the period January to March 2025. Each record contains 17 variables covering customer identity, purchase history, subscription details, usage metrics, satisfaction ratings, and churn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Variable</w:t>
            </w:r>
          </w:p>
        </w:tc>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Description</w:t>
            </w:r>
          </w:p>
        </w:tc>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Type</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Customer ID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Unique customer identifier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Full Name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 full name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String</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Date of Purchase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Date of last subscription purchase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Date</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Age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 age in years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State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Nigerian state of residence</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MTN Device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Device type used by customer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String (Categorical)</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Gender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Customer gender</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 (Categorical)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Satisfaction Rate</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 satisfaction score (1–5)</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Customer Review</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Qualitative feedback text</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 Tenure (months)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Number of months as MTN subscriber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Subscription Plan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Active data/call plan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 (Categorical)</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Unit Price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Price per subscription unit</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Number of Times Purchased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Total subscription purchases</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Total Revenue (₦)</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Total revenue generated by customer</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Integer</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Data Usage (GB)</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Average monthly data consumption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Float</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Customer Churn Status</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Whether customer churned (Yes/No)</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String (Binary)</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Reasons for Churn</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Stated reason for leaving (if churned)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String</w:t>
            </w:r>
          </w:p>
        </w:tc>
      </w:tr>
    </w:tbl>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3. Methodology</w:t>
      </w:r>
    </w:p>
    <w:p>
      <w:pPr>
        <w:pBdr>
          <w:bottom w:val="single" w:color="C8840A" w:sz="6" w:space="1"/>
        </w:pBdr>
        <w:spacing w:after="100" w:before="100"/>
      </w:pPr>
    </w:p>
    <w:p>
      <w:pPr>
        <w:spacing w:after="120"/>
      </w:pPr>
      <w:r>
        <w:rPr>
          <w:rFonts w:ascii="Arial" w:cs="Arial" w:eastAsia="Arial" w:hAnsi="Arial"/>
          <w:color w:val="1A202C"/>
          <w:sz w:val="22"/>
          <w:szCs w:val="22"/>
        </w:rPr>
        <w:t xml:space="preserve">The analysis follows a structured data analytics workflow, moving from data acquisition and cleaning through exploratory analysis to insight generation and recommendation development.</w:t>
      </w:r>
    </w:p>
    <w:p>
      <w:pPr>
        <w:pStyle w:val="Heading2"/>
        <w:spacing w:after="80" w:before="240"/>
      </w:pPr>
      <w:r>
        <w:rPr>
          <w:rFonts w:ascii="Arial" w:cs="Arial" w:eastAsia="Arial" w:hAnsi="Arial"/>
          <w:b/>
          <w:bCs/>
          <w:color w:val="0D1B40"/>
          <w:sz w:val="26"/>
          <w:szCs w:val="26"/>
        </w:rPr>
        <w:t xml:space="preserve">3.1 Tools &amp; Technologies</w:t>
      </w:r>
    </w:p>
    <w:p>
      <w:pPr>
        <w:pStyle w:val="ListParagraph"/>
        <w:numPr>
          <w:ilvl w:val="0"/>
          <w:numId w:val="2"/>
        </w:numPr>
        <w:spacing w:after="80"/>
      </w:pPr>
      <w:r>
        <w:rPr>
          <w:rFonts w:ascii="Arial" w:cs="Arial" w:eastAsia="Arial" w:hAnsi="Arial"/>
          <w:b w:val="false"/>
          <w:bCs w:val="false"/>
          <w:color w:val="1A202C"/>
          <w:sz w:val="22"/>
          <w:szCs w:val="22"/>
        </w:rPr>
        <w:t xml:space="preserve">Python 3 (Pandas, NumPy) — Data ingestion, cleaning, transformation, and aggregation</w:t>
      </w:r>
    </w:p>
    <w:p>
      <w:pPr>
        <w:pStyle w:val="ListParagraph"/>
        <w:numPr>
          <w:ilvl w:val="0"/>
          <w:numId w:val="2"/>
        </w:numPr>
        <w:spacing w:after="80"/>
      </w:pPr>
      <w:r>
        <w:rPr>
          <w:rFonts w:ascii="Arial" w:cs="Arial" w:eastAsia="Arial" w:hAnsi="Arial"/>
          <w:b w:val="false"/>
          <w:bCs w:val="false"/>
          <w:color w:val="1A202C"/>
          <w:sz w:val="22"/>
          <w:szCs w:val="22"/>
        </w:rPr>
        <w:t xml:space="preserve">Microsoft Excel / OpenPyXL — Source data format and preliminary review</w:t>
      </w:r>
    </w:p>
    <w:p>
      <w:pPr>
        <w:pStyle w:val="ListParagraph"/>
        <w:numPr>
          <w:ilvl w:val="0"/>
          <w:numId w:val="2"/>
        </w:numPr>
        <w:spacing w:after="80"/>
      </w:pPr>
      <w:r>
        <w:rPr>
          <w:rFonts w:ascii="Arial" w:cs="Arial" w:eastAsia="Arial" w:hAnsi="Arial"/>
          <w:b w:val="false"/>
          <w:bCs w:val="false"/>
          <w:color w:val="1A202C"/>
          <w:sz w:val="22"/>
          <w:szCs w:val="22"/>
        </w:rPr>
        <w:t xml:space="preserve">Descriptive Statistics — Central tendency, distribution, and frequency analysis</w:t>
      </w:r>
    </w:p>
    <w:p>
      <w:pPr>
        <w:pStyle w:val="ListParagraph"/>
        <w:numPr>
          <w:ilvl w:val="0"/>
          <w:numId w:val="2"/>
        </w:numPr>
        <w:spacing w:after="80"/>
      </w:pPr>
      <w:r>
        <w:rPr>
          <w:rFonts w:ascii="Arial" w:cs="Arial" w:eastAsia="Arial" w:hAnsi="Arial"/>
          <w:b w:val="false"/>
          <w:bCs w:val="false"/>
          <w:color w:val="1A202C"/>
          <w:sz w:val="22"/>
          <w:szCs w:val="22"/>
        </w:rPr>
        <w:t xml:space="preserve">Segmentation Analysis — Churn breakdowns by demographic, geographic, device, and plan dimensions</w:t>
      </w:r>
    </w:p>
    <w:p>
      <w:pPr>
        <w:spacing w:after="80"/>
      </w:pPr>
    </w:p>
    <w:p>
      <w:pPr>
        <w:pStyle w:val="Heading2"/>
        <w:spacing w:after="80" w:before="240"/>
      </w:pPr>
      <w:r>
        <w:rPr>
          <w:rFonts w:ascii="Arial" w:cs="Arial" w:eastAsia="Arial" w:hAnsi="Arial"/>
          <w:b/>
          <w:bCs/>
          <w:color w:val="0D1B40"/>
          <w:sz w:val="26"/>
          <w:szCs w:val="26"/>
        </w:rPr>
        <w:t xml:space="preserve">3.2 Analytical Approach</w:t>
      </w:r>
    </w:p>
    <w:p>
      <w:pPr>
        <w:spacing w:after="120"/>
      </w:pPr>
      <w:r>
        <w:rPr>
          <w:rFonts w:ascii="Arial" w:cs="Arial" w:eastAsia="Arial" w:hAnsi="Arial"/>
          <w:color w:val="1A202C"/>
          <w:sz w:val="22"/>
          <w:szCs w:val="22"/>
        </w:rPr>
        <w:t xml:space="preserve">The following steps were performed in sequence:</w:t>
      </w:r>
    </w:p>
    <w:p>
      <w:pPr>
        <w:pStyle w:val="ListParagraph"/>
        <w:numPr>
          <w:ilvl w:val="0"/>
          <w:numId w:val="2"/>
        </w:numPr>
        <w:spacing w:after="80"/>
      </w:pPr>
      <w:r>
        <w:rPr>
          <w:rFonts w:ascii="Arial" w:cs="Arial" w:eastAsia="Arial" w:hAnsi="Arial"/>
          <w:b w:val="false"/>
          <w:bCs w:val="false"/>
          <w:color w:val="1A202C"/>
          <w:sz w:val="22"/>
          <w:szCs w:val="22"/>
        </w:rPr>
        <w:t xml:space="preserve">Data Ingestion: Loaded the Excel dataset (974 rows, 17 columns) into a Pandas DataFrame.</w:t>
      </w:r>
    </w:p>
    <w:p>
      <w:pPr>
        <w:pStyle w:val="ListParagraph"/>
        <w:numPr>
          <w:ilvl w:val="0"/>
          <w:numId w:val="2"/>
        </w:numPr>
        <w:spacing w:after="80"/>
      </w:pPr>
      <w:r>
        <w:rPr>
          <w:rFonts w:ascii="Arial" w:cs="Arial" w:eastAsia="Arial" w:hAnsi="Arial"/>
          <w:b w:val="false"/>
          <w:bCs w:val="false"/>
          <w:color w:val="1A202C"/>
          <w:sz w:val="22"/>
          <w:szCs w:val="22"/>
        </w:rPr>
        <w:t xml:space="preserve">Data Quality Check: Inspected for missing values, data type inconsistencies, and outliers. The ‘Reasons for Churn’ field had 690 null values (expected, as non-churned customers have no reason), confirmed as structurally valid.</w:t>
      </w:r>
    </w:p>
    <w:p>
      <w:pPr>
        <w:pStyle w:val="ListParagraph"/>
        <w:numPr>
          <w:ilvl w:val="0"/>
          <w:numId w:val="2"/>
        </w:numPr>
        <w:spacing w:after="80"/>
      </w:pPr>
      <w:r>
        <w:rPr>
          <w:rFonts w:ascii="Arial" w:cs="Arial" w:eastAsia="Arial" w:hAnsi="Arial"/>
          <w:b w:val="false"/>
          <w:bCs w:val="false"/>
          <w:color w:val="1A202C"/>
          <w:sz w:val="22"/>
          <w:szCs w:val="22"/>
        </w:rPr>
        <w:t xml:space="preserve">Churn Rate Computation: Calculated overall churn rate and segment-specific churn rates using frequency and proportion analyses.</w:t>
      </w:r>
    </w:p>
    <w:p>
      <w:pPr>
        <w:pStyle w:val="ListParagraph"/>
        <w:numPr>
          <w:ilvl w:val="0"/>
          <w:numId w:val="2"/>
        </w:numPr>
        <w:spacing w:after="80"/>
      </w:pPr>
      <w:r>
        <w:rPr>
          <w:rFonts w:ascii="Arial" w:cs="Arial" w:eastAsia="Arial" w:hAnsi="Arial"/>
          <w:b w:val="false"/>
          <w:bCs w:val="false"/>
          <w:color w:val="1A202C"/>
          <w:sz w:val="22"/>
          <w:szCs w:val="22"/>
        </w:rPr>
        <w:t xml:space="preserve">Revenue Analysis: Aggregated total revenue, churned revenue, and retained revenue; computed per-customer averages and annualised risk projections.</w:t>
      </w:r>
    </w:p>
    <w:p>
      <w:pPr>
        <w:pStyle w:val="ListParagraph"/>
        <w:numPr>
          <w:ilvl w:val="0"/>
          <w:numId w:val="2"/>
        </w:numPr>
        <w:spacing w:after="80"/>
      </w:pPr>
      <w:r>
        <w:rPr>
          <w:rFonts w:ascii="Arial" w:cs="Arial" w:eastAsia="Arial" w:hAnsi="Arial"/>
          <w:b w:val="false"/>
          <w:bCs w:val="false"/>
          <w:color w:val="1A202C"/>
          <w:sz w:val="22"/>
          <w:szCs w:val="22"/>
        </w:rPr>
        <w:t xml:space="preserve">Reason Analysis: Tabulated stated churn reasons from the 284 churned customers to identify the most common drivers.</w:t>
      </w:r>
    </w:p>
    <w:p>
      <w:pPr>
        <w:pStyle w:val="ListParagraph"/>
        <w:numPr>
          <w:ilvl w:val="0"/>
          <w:numId w:val="2"/>
        </w:numPr>
        <w:spacing w:after="80"/>
      </w:pPr>
      <w:r>
        <w:rPr>
          <w:rFonts w:ascii="Arial" w:cs="Arial" w:eastAsia="Arial" w:hAnsi="Arial"/>
          <w:b w:val="false"/>
          <w:bCs w:val="false"/>
          <w:color w:val="1A202C"/>
          <w:sz w:val="22"/>
          <w:szCs w:val="22"/>
        </w:rPr>
        <w:t xml:space="preserve">Segmentation: Disaggregated churn by state, subscription plan, device type, age group, and gender to identify at-risk cohorts.</w:t>
      </w:r>
    </w:p>
    <w:p>
      <w:pPr>
        <w:pStyle w:val="ListParagraph"/>
        <w:numPr>
          <w:ilvl w:val="0"/>
          <w:numId w:val="2"/>
        </w:numPr>
        <w:spacing w:after="80"/>
      </w:pPr>
      <w:r>
        <w:rPr>
          <w:rFonts w:ascii="Arial" w:cs="Arial" w:eastAsia="Arial" w:hAnsi="Arial"/>
          <w:b w:val="false"/>
          <w:bCs w:val="false"/>
          <w:color w:val="1A202C"/>
          <w:sz w:val="22"/>
          <w:szCs w:val="22"/>
        </w:rPr>
        <w:t xml:space="preserve">Insight Synthesis: Translated quantitative findings into actionable business insights and prioritised recommendations by impact severity.</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4. Churn Analysis</w:t>
      </w:r>
    </w:p>
    <w:p>
      <w:pPr>
        <w:pBdr>
          <w:bottom w:val="single" w:color="C8840A" w:sz="6" w:space="1"/>
        </w:pBdr>
        <w:spacing w:after="100" w:before="100"/>
      </w:pPr>
    </w:p>
    <w:p>
      <w:pPr>
        <w:pStyle w:val="Heading2"/>
        <w:spacing w:after="80" w:before="240"/>
      </w:pPr>
      <w:r>
        <w:rPr>
          <w:rFonts w:ascii="Arial" w:cs="Arial" w:eastAsia="Arial" w:hAnsi="Arial"/>
          <w:b/>
          <w:bCs/>
          <w:color w:val="0D1B40"/>
          <w:sz w:val="26"/>
          <w:szCs w:val="26"/>
        </w:rPr>
        <w:t xml:space="preserve">4.1 Overall Churn Rate</w:t>
      </w:r>
    </w:p>
    <w:p>
      <w:pPr>
        <w:spacing w:after="120"/>
      </w:pPr>
      <w:r>
        <w:rPr>
          <w:rFonts w:ascii="Arial" w:cs="Arial" w:eastAsia="Arial" w:hAnsi="Arial"/>
          <w:color w:val="1A202C"/>
          <w:sz w:val="22"/>
          <w:szCs w:val="22"/>
        </w:rPr>
        <w:t xml:space="preserve">Out of 974 total customers in the Q1 2025 dataset, 284 customers (29.2%) churned, while 690 (70.8%) were retained. This churn rate is approximately 9 percentage points above the industry average for African telecommunications markets, which typically hovers around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Status</w:t>
            </w:r>
          </w:p>
        </w:tc>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Count</w:t>
            </w:r>
          </w:p>
        </w:tc>
        <w:tc>
          <w:tcPr>
            <w:tcW w:type="dxa" w:w="312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Proportion</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Retained</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690</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70.8%</w:t>
            </w:r>
          </w:p>
        </w:tc>
      </w:tr>
      <w:tr>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Churned</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284</w:t>
            </w:r>
          </w:p>
        </w:tc>
        <w:tc>
          <w:tcPr>
            <w:tcW w:type="dxa" w:w="312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29.2%</w:t>
            </w:r>
          </w:p>
        </w:tc>
      </w:tr>
      <w:tr>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Total</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974</w:t>
            </w:r>
          </w:p>
        </w:tc>
        <w:tc>
          <w:tcPr>
            <w:tcW w:type="dxa" w:w="312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100.0%</w:t>
            </w:r>
          </w:p>
        </w:tc>
      </w:tr>
    </w:tbl>
    <w:p>
      <w:pPr>
        <w:spacing w:after="80"/>
      </w:pPr>
    </w:p>
    <w:p>
      <w:pPr>
        <w:spacing w:after="80"/>
      </w:pPr>
    </w:p>
    <w:p>
      <w:pPr>
        <w:pStyle w:val="Heading2"/>
        <w:spacing w:after="80" w:before="240"/>
      </w:pPr>
      <w:r>
        <w:rPr>
          <w:rFonts w:ascii="Arial" w:cs="Arial" w:eastAsia="Arial" w:hAnsi="Arial"/>
          <w:b/>
          <w:bCs/>
          <w:color w:val="0D1B40"/>
          <w:sz w:val="26"/>
          <w:szCs w:val="26"/>
        </w:rPr>
        <w:t xml:space="preserve">4.2 Reasons for Churn</w:t>
      </w:r>
    </w:p>
    <w:p>
      <w:pPr>
        <w:spacing w:after="120"/>
      </w:pPr>
      <w:r>
        <w:rPr>
          <w:rFonts w:ascii="Arial" w:cs="Arial" w:eastAsia="Arial" w:hAnsi="Arial"/>
          <w:color w:val="1A202C"/>
          <w:sz w:val="22"/>
          <w:szCs w:val="22"/>
        </w:rPr>
        <w:t xml:space="preserve">Among the 284 churned customers, 284 stated reasons were captured (one per customer). The following table presents the ranked distribution of churn reasons: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Rank</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Reason for Churn</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Count</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 of Churned Customers</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High Call Tariffs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19.0%</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Better Offers from Competitors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52</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18.3%</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Poor Network</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15.8%</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Costly Data Plans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40</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14.1%</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Poor Customer Service</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12.0%</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Fast Data Consumption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32</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11.3%</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Relocation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9.5%</w:t>
            </w:r>
          </w:p>
        </w:tc>
      </w:tr>
    </w:tbl>
    <w:p>
      <w:pPr>
        <w:spacing w:after="80"/>
      </w:pPr>
    </w:p>
    <w:p>
      <w:pPr>
        <w:spacing w:after="120"/>
      </w:pPr>
      <w:r>
        <w:rPr>
          <w:rFonts w:ascii="Arial" w:cs="Arial" w:eastAsia="Arial" w:hAnsi="Arial"/>
          <w:color w:val="1A202C"/>
          <w:sz w:val="22"/>
          <w:szCs w:val="22"/>
        </w:rPr>
        <w:t xml:space="preserve">The top two reasons — High Call Tariffs (19.0%) and Better Offers from Competitors (18.3%) — together account for 37.3% of all churn. Combined with Costly Data Plans (14.1%), pricing-related factors drive over 51% of customer departures, underscoring the critical need for tariff restructuring and competitive pricing strategies.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40A" w:sz="4"/>
              <w:left w:val="thick" w:color="C8840A" w:sz="12"/>
              <w:bottom w:val="single" w:color="C8840A" w:sz="4"/>
              <w:right w:val="none" w:color="FFFFFF" w:sz="0"/>
            </w:tcBorders>
            <w:shd w:fill="FFFBF0" w:val="clear"/>
            <w:tcMar>
              <w:top w:type="dxa" w:w="120"/>
              <w:left w:type="dxa" w:w="180"/>
              <w:bottom w:type="dxa" w:w="120"/>
              <w:right w:type="dxa" w:w="120"/>
            </w:tcMar>
          </w:tcPr>
          <w:p>
            <w:pPr>
              <w:spacing w:after="60"/>
            </w:pPr>
            <w:r>
              <w:rPr>
                <w:rFonts w:ascii="Arial" w:cs="Arial" w:eastAsia="Arial" w:hAnsi="Arial"/>
                <w:b/>
                <w:bCs/>
                <w:color w:val="C8840A"/>
                <w:sz w:val="20"/>
                <w:szCs w:val="20"/>
              </w:rPr>
              <w:t xml:space="preserve">PRICING INSIGHT</w:t>
            </w:r>
          </w:p>
          <w:p>
            <w:pPr>
              <w:spacing w:after="0"/>
            </w:pPr>
            <w:r>
              <w:rPr>
                <w:rFonts w:ascii="Arial" w:cs="Arial" w:eastAsia="Arial" w:hAnsi="Arial"/>
                <w:color w:val="5C4A00"/>
                <w:sz w:val="21"/>
                <w:szCs w:val="21"/>
              </w:rPr>
              <w:t xml:space="preserve">Pricing dissatisfaction (High Call Tariffs + Costly Data Plans) accounts for 33.1% of all churn (94 customers). At an average revenue of ₦204,226 per churned customer, this pricing-driven churn alone represents an estimated ₦19.2M in quarterly revenue loss.</w:t>
            </w:r>
          </w:p>
        </w:tc>
      </w:tr>
    </w:tbl>
    <w:p>
      <w:pPr>
        <w:spacing w:after="80"/>
      </w:pPr>
    </w:p>
    <w:p>
      <w:pPr>
        <w:spacing w:after="80"/>
      </w:pPr>
    </w:p>
    <w:p>
      <w:pPr>
        <w:pStyle w:val="Heading2"/>
        <w:spacing w:after="80" w:before="240"/>
      </w:pPr>
      <w:r>
        <w:rPr>
          <w:rFonts w:ascii="Arial" w:cs="Arial" w:eastAsia="Arial" w:hAnsi="Arial"/>
          <w:b/>
          <w:bCs/>
          <w:color w:val="0D1B40"/>
          <w:sz w:val="26"/>
          <w:szCs w:val="26"/>
        </w:rPr>
        <w:t xml:space="preserve">4.3 Churn by Gender</w:t>
      </w:r>
    </w:p>
    <w:p>
      <w:pPr>
        <w:spacing w:after="120"/>
      </w:pPr>
      <w:r>
        <w:rPr>
          <w:rFonts w:ascii="Arial" w:cs="Arial" w:eastAsia="Arial" w:hAnsi="Arial"/>
          <w:color w:val="1A202C"/>
          <w:sz w:val="22"/>
          <w:szCs w:val="22"/>
        </w:rPr>
        <w:t xml:space="preserve">Gender differences in churn rate are modest but present. Female customers showed a slightly higher churn rate (30.3%) compared to male customers (28.0%), suggesting churn is not primarily gender-driven but may be influenced by plan preferences or satisfaction thresholds that differ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Gender</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Customers</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Retained</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r>
      <w:tr>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Female</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465</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141</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324</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30.3%</w:t>
            </w:r>
          </w:p>
        </w:tc>
      </w:tr>
      <w:tr>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Male</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509</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143</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366</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28.0%</w:t>
            </w:r>
          </w:p>
        </w:tc>
      </w:tr>
    </w:tbl>
    <w:p>
      <w:pPr>
        <w:spacing w:after="80"/>
      </w:pPr>
    </w:p>
    <w:p>
      <w:pPr>
        <w:spacing w:after="80"/>
      </w:pPr>
    </w:p>
    <w:p>
      <w:pPr>
        <w:pStyle w:val="Heading2"/>
        <w:spacing w:after="80" w:before="240"/>
      </w:pPr>
      <w:r>
        <w:rPr>
          <w:rFonts w:ascii="Arial" w:cs="Arial" w:eastAsia="Arial" w:hAnsi="Arial"/>
          <w:b/>
          <w:bCs/>
          <w:color w:val="0D1B40"/>
          <w:sz w:val="26"/>
          <w:szCs w:val="26"/>
        </w:rPr>
        <w:t xml:space="preserve">4.4 Churn by Customer Tenure</w:t>
      </w:r>
    </w:p>
    <w:p>
      <w:pPr>
        <w:spacing w:after="120"/>
      </w:pPr>
      <w:r>
        <w:rPr>
          <w:rFonts w:ascii="Arial" w:cs="Arial" w:eastAsia="Arial" w:hAnsi="Arial"/>
          <w:color w:val="1A202C"/>
          <w:sz w:val="22"/>
          <w:szCs w:val="22"/>
        </w:rPr>
        <w:t xml:space="preserve">Contrary to an initial expectation that longer-tenured customers would be more loyal, churned customers in this dataset had slightly longer average tenures (33.1 months) compared to retained customers (30.7 months). This finding suggests that tenure alone is not a reliable predictor of loyalty — long-term customers may reach saturation points where unresolved pain points (pricing, service quality) outweigh the inertia of staying.</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5. Geographic Churn Analysis</w:t>
      </w:r>
    </w:p>
    <w:p>
      <w:pPr>
        <w:pBdr>
          <w:bottom w:val="single" w:color="C8840A" w:sz="6" w:space="1"/>
        </w:pBdr>
        <w:spacing w:after="100" w:before="100"/>
      </w:pPr>
    </w:p>
    <w:p>
      <w:pPr>
        <w:spacing w:after="120"/>
      </w:pPr>
      <w:r>
        <w:rPr>
          <w:rFonts w:ascii="Arial" w:cs="Arial" w:eastAsia="Arial" w:hAnsi="Arial"/>
          <w:color w:val="1A202C"/>
          <w:sz w:val="22"/>
          <w:szCs w:val="22"/>
        </w:rPr>
        <w:t xml:space="preserve">Geographic analysis reveals significant regional variation in churn rates, with northern and south-eastern states showing the highest attrition. The following table presents the top 8 states by churn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7"/>
      </w:tblGrid>
      <w:tr>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Rank</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State</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Customers</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Retained</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c>
          <w:tcPr>
            <w:tcW w:type="dxa" w:w="1337"/>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Risk Level</w:t>
            </w:r>
          </w:p>
        </w:tc>
      </w:tr>
      <w:tr>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Adamawa</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18</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11</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61.1%</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CRITICAL</w:t>
            </w:r>
          </w:p>
        </w:tc>
      </w:tr>
      <w:tr>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Imo</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51.7%</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CRITICAL</w:t>
            </w:r>
          </w:p>
        </w:tc>
      </w:tr>
      <w:tr>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Kebbi</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48.3%</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CRITICAL</w:t>
            </w:r>
          </w:p>
        </w:tc>
      </w:tr>
      <w:tr>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Benue</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13</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46.4%</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HIGH</w:t>
            </w:r>
          </w:p>
        </w:tc>
      </w:tr>
      <w:tr>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Yobe</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34</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13</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21</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38.2%</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HIGH</w:t>
            </w:r>
          </w:p>
        </w:tc>
      </w:tr>
      <w:tr>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Anambra</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11</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18</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37.9%</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HIGH</w:t>
            </w:r>
          </w:p>
        </w:tc>
      </w:tr>
      <w:tr>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Abuja (FCT)</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42</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27</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35.7%</w:t>
            </w:r>
          </w:p>
        </w:tc>
        <w:tc>
          <w:tcPr>
            <w:tcW w:type="dxa" w:w="1337"/>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MEDIUM</w:t>
            </w:r>
          </w:p>
        </w:tc>
      </w:tr>
      <w:tr>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8</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Edo</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33</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11</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22</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33.3%</w:t>
            </w:r>
          </w:p>
        </w:tc>
        <w:tc>
          <w:tcPr>
            <w:tcW w:type="dxa" w:w="1337"/>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MEDIUM</w:t>
            </w:r>
          </w:p>
        </w:tc>
      </w:tr>
    </w:tbl>
    <w:p>
      <w:pPr>
        <w:spacing w:after="80"/>
      </w:pPr>
    </w:p>
    <w:p>
      <w:pPr>
        <w:spacing w:after="120"/>
      </w:pPr>
      <w:r>
        <w:rPr>
          <w:rFonts w:ascii="Arial" w:cs="Arial" w:eastAsia="Arial" w:hAnsi="Arial"/>
          <w:color w:val="1A202C"/>
          <w:sz w:val="22"/>
          <w:szCs w:val="22"/>
        </w:rPr>
        <w:t xml:space="preserve">Adamawa state stands out with a 61.1% churn rate — more than double the expected rate — likely reflecting a combination of poor network coverage, limited plan options suited to local usage patterns, and competitive incursion from rival operators. Imo and Kebbi follow closely with rates above 48%.</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40A" w:sz="4"/>
              <w:left w:val="thick" w:color="C8840A" w:sz="12"/>
              <w:bottom w:val="single" w:color="C8840A" w:sz="4"/>
              <w:right w:val="none" w:color="FFFFFF" w:sz="0"/>
            </w:tcBorders>
            <w:shd w:fill="FFFBF0" w:val="clear"/>
            <w:tcMar>
              <w:top w:type="dxa" w:w="120"/>
              <w:left w:type="dxa" w:w="180"/>
              <w:bottom w:type="dxa" w:w="120"/>
              <w:right w:type="dxa" w:w="120"/>
            </w:tcMar>
          </w:tcPr>
          <w:p>
            <w:pPr>
              <w:spacing w:after="60"/>
            </w:pPr>
            <w:r>
              <w:rPr>
                <w:rFonts w:ascii="Arial" w:cs="Arial" w:eastAsia="Arial" w:hAnsi="Arial"/>
                <w:b/>
                <w:bCs/>
                <w:color w:val="C8840A"/>
                <w:sz w:val="20"/>
                <w:szCs w:val="20"/>
              </w:rPr>
              <w:t xml:space="preserve">GEOGRAPHIC PRIORITY</w:t>
            </w:r>
          </w:p>
          <w:p>
            <w:pPr>
              <w:spacing w:after="0"/>
            </w:pPr>
            <w:r>
              <w:rPr>
                <w:rFonts w:ascii="Arial" w:cs="Arial" w:eastAsia="Arial" w:hAnsi="Arial"/>
                <w:color w:val="5C4A00"/>
                <w:sz w:val="21"/>
                <w:szCs w:val="21"/>
              </w:rPr>
              <w:t xml:space="preserve">The three highest-churn states (Adamawa, Imo, Kebbi) together account for 11.3% of total customers but contribute disproportionately to revenue loss. Targeted regional interventions in these states could yield rapid improvement in the overall churn rate.</w:t>
            </w:r>
          </w:p>
        </w:tc>
      </w:tr>
    </w:tbl>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6. Subscription Plan Analysis</w:t>
      </w:r>
    </w:p>
    <w:p>
      <w:pPr>
        <w:pBdr>
          <w:bottom w:val="single" w:color="C8840A" w:sz="6" w:space="1"/>
        </w:pBdr>
        <w:spacing w:after="100" w:before="100"/>
      </w:pPr>
    </w:p>
    <w:p>
      <w:pPr>
        <w:spacing w:after="120"/>
      </w:pPr>
      <w:r>
        <w:rPr>
          <w:rFonts w:ascii="Arial" w:cs="Arial" w:eastAsia="Arial" w:hAnsi="Arial"/>
          <w:color w:val="1A202C"/>
          <w:sz w:val="22"/>
          <w:szCs w:val="22"/>
        </w:rPr>
        <w:t xml:space="preserve">The dataset includes 21 distinct subscription plans ranging from daily micro-plans (500MB Daily) to large annual broadband packages (1.5TB Yearly). The following table presents the top 10 plans by churn rate, alongside subscriber volumes: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Plan</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Subscribers</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200GB Monthly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45.2%</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3.2GB 2-Day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42.9%</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65GB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36.5%</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25GB Monthly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49</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16</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32.7%</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300GB FUP Monthly Unlimited</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165GB Monthly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73</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28.8%</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30GB Monthly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28.6%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60GB Monthly Broadband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81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25.9%</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150GB FUP Monthly Unlimited</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78</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24.4%</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10GB+10mins Monthly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67</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20.9%</w:t>
            </w:r>
          </w:p>
        </w:tc>
      </w:tr>
    </w:tbl>
    <w:p>
      <w:pPr>
        <w:spacing w:after="80"/>
      </w:pPr>
    </w:p>
    <w:p>
      <w:pPr>
        <w:spacing w:after="120"/>
      </w:pPr>
      <w:r>
        <w:rPr>
          <w:rFonts w:ascii="Arial" w:cs="Arial" w:eastAsia="Arial" w:hAnsi="Arial"/>
          <w:color w:val="1A202C"/>
          <w:sz w:val="22"/>
          <w:szCs w:val="22"/>
        </w:rPr>
        <w:t xml:space="preserve">The 200GB Monthly Broadband Plan exhibits the highest churn rate at 45.2% — nearly one in two subscribers leaves. This may indicate that the plan’s pricing relative to data allowance is perceived as poor value. The 3.2GB 2-Day Plan (42.9%) suggests a pattern of trial-and-leave behaviour among short-commitment users.</w:t>
      </w:r>
    </w:p>
    <w:p>
      <w:pPr>
        <w:spacing w:after="120"/>
      </w:pPr>
      <w:r>
        <w:rPr>
          <w:rFonts w:ascii="Arial" w:cs="Arial" w:eastAsia="Arial" w:hAnsi="Arial"/>
          <w:color w:val="1A202C"/>
          <w:sz w:val="22"/>
          <w:szCs w:val="22"/>
        </w:rPr>
        <w:t xml:space="preserve">By contrast, the 60GB Monthly Broadband Plan — the most popular plan with 81 subscribers — shows a more moderate churn rate of 25.9%, pointing to a relatively better price-to-value balance.</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7. Device &amp; Demographic Analysis</w:t>
      </w:r>
    </w:p>
    <w:p>
      <w:pPr>
        <w:pBdr>
          <w:bottom w:val="single" w:color="C8840A" w:sz="6" w:space="1"/>
        </w:pBdr>
        <w:spacing w:after="100" w:before="100"/>
      </w:pPr>
    </w:p>
    <w:p>
      <w:pPr>
        <w:pStyle w:val="Heading2"/>
        <w:spacing w:after="80" w:before="240"/>
      </w:pPr>
      <w:r>
        <w:rPr>
          <w:rFonts w:ascii="Arial" w:cs="Arial" w:eastAsia="Arial" w:hAnsi="Arial"/>
          <w:b/>
          <w:bCs/>
          <w:color w:val="0D1B40"/>
          <w:sz w:val="26"/>
          <w:szCs w:val="26"/>
        </w:rPr>
        <w:t xml:space="preserve">7.1 Churn by Device Type</w:t>
      </w:r>
    </w:p>
    <w:p>
      <w:pPr>
        <w:spacing w:after="120"/>
      </w:pPr>
      <w:r>
        <w:rPr>
          <w:rFonts w:ascii="Arial" w:cs="Arial" w:eastAsia="Arial" w:hAnsi="Arial"/>
          <w:color w:val="1A202C"/>
          <w:sz w:val="22"/>
          <w:szCs w:val="22"/>
        </w:rPr>
        <w:t xml:space="preserve">MTN Nigeria offers four device categories: Mobile SIM Card, 4G Router, 5G Broadband Router, and Broadband MiFi. Churn rates by device are presented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Device Type</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Customers</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Retained</w:t>
            </w:r>
          </w:p>
        </w:tc>
        <w:tc>
          <w:tcPr>
            <w:tcW w:type="dxa" w:w="1872"/>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r>
      <w:tr>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Mobile SIM Card</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301</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94</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207</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31.2%</w:t>
            </w:r>
          </w:p>
        </w:tc>
      </w:tr>
      <w:tr>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4G Router</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216</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65</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151</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30.1%</w:t>
            </w:r>
          </w:p>
        </w:tc>
      </w:tr>
      <w:tr>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5G Broadband Router</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229</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64</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165</w:t>
            </w:r>
          </w:p>
        </w:tc>
        <w:tc>
          <w:tcPr>
            <w:tcW w:type="dxa" w:w="1872"/>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27.9%</w:t>
            </w:r>
          </w:p>
        </w:tc>
      </w:tr>
      <w:tr>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Broadband MiFi</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228</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61</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167</w:t>
            </w:r>
          </w:p>
        </w:tc>
        <w:tc>
          <w:tcPr>
            <w:tcW w:type="dxa" w:w="1872"/>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26.8%</w:t>
            </w:r>
          </w:p>
        </w:tc>
      </w:tr>
    </w:tbl>
    <w:p>
      <w:pPr>
        <w:spacing w:after="80"/>
      </w:pPr>
    </w:p>
    <w:p>
      <w:pPr>
        <w:spacing w:after="120"/>
      </w:pPr>
      <w:r>
        <w:rPr>
          <w:rFonts w:ascii="Arial" w:cs="Arial" w:eastAsia="Arial" w:hAnsi="Arial"/>
          <w:color w:val="1A202C"/>
          <w:sz w:val="22"/>
          <w:szCs w:val="22"/>
        </w:rPr>
        <w:t xml:space="preserve">Mobile SIM Card users show the highest churn rate at 31.2%, likely because SIM-based customers face the lowest switching costs — they can replace a SIM card in minutes. In contrast, 5G Broadband Router and Broadband MiFi users, who have made greater hardware investments, tend to demonstrate slightly more loyalty.</w:t>
      </w:r>
    </w:p>
    <w:p>
      <w:pPr>
        <w:spacing w:after="80"/>
      </w:pPr>
    </w:p>
    <w:p>
      <w:pPr>
        <w:pStyle w:val="Heading2"/>
        <w:spacing w:after="80" w:before="240"/>
      </w:pPr>
      <w:r>
        <w:rPr>
          <w:rFonts w:ascii="Arial" w:cs="Arial" w:eastAsia="Arial" w:hAnsi="Arial"/>
          <w:b/>
          <w:bCs/>
          <w:color w:val="0D1B40"/>
          <w:sz w:val="26"/>
          <w:szCs w:val="26"/>
        </w:rPr>
        <w:t xml:space="preserve">7.2 Churn by Age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Age Group</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Customers</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16–25 years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110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30.0%</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26–35 years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197</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32.5%</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36–45 years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134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36.6%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46–55 years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21.9%</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56–65 years</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167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26.9%</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66+ years</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59</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28.0%</w:t>
            </w:r>
          </w:p>
        </w:tc>
      </w:tr>
    </w:tbl>
    <w:p>
      <w:pPr>
        <w:spacing w:after="80"/>
      </w:pPr>
    </w:p>
    <w:p>
      <w:pPr>
        <w:spacing w:after="120"/>
      </w:pPr>
      <w:r>
        <w:rPr>
          <w:rFonts w:ascii="Arial" w:cs="Arial" w:eastAsia="Arial" w:hAnsi="Arial"/>
          <w:color w:val="1A202C"/>
          <w:sz w:val="22"/>
          <w:szCs w:val="22"/>
        </w:rPr>
        <w:t xml:space="preserve">The 36–45 age group shows the highest churn rate at 36.6%. This mid-career demographic is typically price-sensitive, tech-savvy, and aware of competitive alternatives. Customers in this segment are more likely to research and switch to better-value offerings. By contrast, the 46–55 age group shows the lowest churn rate at 21.9%, reflecting greater brand loyalty among older, more established customers.</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8. Revenue Impact Analysis</w:t>
      </w:r>
    </w:p>
    <w:p>
      <w:pPr>
        <w:pBdr>
          <w:bottom w:val="single" w:color="C8840A" w:sz="6" w:space="1"/>
        </w:pBd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Revenue Metric</w:t>
            </w:r>
          </w:p>
        </w:tc>
        <w:tc>
          <w:tcPr>
            <w:tcW w:type="dxa" w:w="468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Amount (₦)</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Total Revenue — All Customers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199,348,200</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Revenue — Retained Customers</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141,348,000</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Revenue — Churned Customers</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58,000,200</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Revenue Share — Retained</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70.9%</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Revenue Share — Churned</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29.1%</w:t>
            </w:r>
          </w:p>
        </w:tc>
      </w:tr>
      <w:tr>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Average Revenue per Retained Customer</w:t>
            </w:r>
          </w:p>
        </w:tc>
        <w:tc>
          <w:tcPr>
            <w:tcW w:type="dxa" w:w="468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204,852</w:t>
            </w:r>
          </w:p>
        </w:tc>
      </w:tr>
      <w:tr>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Average Revenue per Churned Customer</w:t>
            </w:r>
          </w:p>
        </w:tc>
        <w:tc>
          <w:tcPr>
            <w:tcW w:type="dxa" w:w="468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204,226</w:t>
            </w:r>
          </w:p>
        </w:tc>
      </w:tr>
    </w:tbl>
    <w:p>
      <w:pPr>
        <w:spacing w:after="80"/>
      </w:pPr>
    </w:p>
    <w:p>
      <w:pPr>
        <w:spacing w:after="120"/>
      </w:pPr>
      <w:r>
        <w:rPr>
          <w:rFonts w:ascii="Arial" w:cs="Arial" w:eastAsia="Arial" w:hAnsi="Arial"/>
          <w:color w:val="1A202C"/>
          <w:sz w:val="22"/>
          <w:szCs w:val="22"/>
        </w:rPr>
        <w:t xml:space="preserve">The average revenue per customer is approximately equal between churned (₦204,226) and retained (₦204,852) customers, meaning the financial risk of churn scales directly with the number of churned customers — rather than disproportionately affecting high-value accounts. This makes broad retention strategies (rather than selective high-value focus) particularly important.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40A" w:sz="4"/>
              <w:left w:val="thick" w:color="C8840A" w:sz="12"/>
              <w:bottom w:val="single" w:color="C8840A" w:sz="4"/>
              <w:right w:val="none" w:color="FFFFFF" w:sz="0"/>
            </w:tcBorders>
            <w:shd w:fill="FFFBF0" w:val="clear"/>
            <w:tcMar>
              <w:top w:type="dxa" w:w="120"/>
              <w:left w:type="dxa" w:w="180"/>
              <w:bottom w:type="dxa" w:w="120"/>
              <w:right w:type="dxa" w:w="120"/>
            </w:tcMar>
          </w:tcPr>
          <w:p>
            <w:pPr>
              <w:spacing w:after="60"/>
            </w:pPr>
            <w:r>
              <w:rPr>
                <w:rFonts w:ascii="Arial" w:cs="Arial" w:eastAsia="Arial" w:hAnsi="Arial"/>
                <w:b/>
                <w:bCs/>
                <w:color w:val="C8840A"/>
                <w:sz w:val="20"/>
                <w:szCs w:val="20"/>
              </w:rPr>
              <w:t xml:space="preserve">ANNUALISED RISK PROJECTION</w:t>
            </w:r>
          </w:p>
          <w:p>
            <w:pPr>
              <w:spacing w:after="0"/>
            </w:pPr>
            <w:r>
              <w:rPr>
                <w:rFonts w:ascii="Arial" w:cs="Arial" w:eastAsia="Arial" w:hAnsi="Arial"/>
                <w:color w:val="5C4A00"/>
                <w:sz w:val="21"/>
                <w:szCs w:val="21"/>
              </w:rPr>
              <w:t xml:space="preserve">At the current Q1 2025 churn rate of 29.2%, MTN Nigeria is on track to lose approximately ₦232 million in annualised revenue. Reducing churn by just 10 percentage points (to ~19%) would recover an estimated ₦69 million per year — equivalent to retaining approximately 97 additional customers per quarter.</w:t>
            </w:r>
          </w:p>
        </w:tc>
      </w:tr>
    </w:tbl>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9. Strategic Recommendations</w:t>
      </w:r>
    </w:p>
    <w:p>
      <w:pPr>
        <w:pBdr>
          <w:bottom w:val="single" w:color="C8840A" w:sz="6" w:space="1"/>
        </w:pBdr>
        <w:spacing w:after="100" w:before="100"/>
      </w:pPr>
    </w:p>
    <w:p>
      <w:pPr>
        <w:spacing w:after="120"/>
      </w:pPr>
      <w:r>
        <w:rPr>
          <w:rFonts w:ascii="Arial" w:cs="Arial" w:eastAsia="Arial" w:hAnsi="Arial"/>
          <w:color w:val="1A202C"/>
          <w:sz w:val="22"/>
          <w:szCs w:val="22"/>
        </w:rPr>
        <w:t xml:space="preserve">Based on the analysis findings, the following six strategic recommendations are prioritised by urgency and estimated impact. Recommendations are categorised as Immediate (0–30 days), Short-Term (1–3 months), or Long-Term (3–6 months).</w:t>
      </w:r>
    </w:p>
    <w:p>
      <w:pPr>
        <w:spacing w:after="80"/>
      </w:pPr>
    </w:p>
    <w:p>
      <w:pPr>
        <w:pStyle w:val="Heading2"/>
        <w:spacing w:after="80" w:before="240"/>
      </w:pPr>
      <w:r>
        <w:rPr>
          <w:rFonts w:ascii="Arial" w:cs="Arial" w:eastAsia="Arial" w:hAnsi="Arial"/>
          <w:b/>
          <w:bCs/>
          <w:color w:val="0D1B40"/>
          <w:sz w:val="26"/>
          <w:szCs w:val="26"/>
        </w:rPr>
        <w:t xml:space="preserve">REC 01 — Revise Tariff &amp; Data Pricing Structures [HIGH PRIORITY]</w:t>
      </w:r>
    </w:p>
    <w:p>
      <w:pPr>
        <w:spacing w:after="120"/>
      </w:pPr>
      <w:r>
        <w:rPr>
          <w:rFonts w:ascii="Arial" w:cs="Arial" w:eastAsia="Arial" w:hAnsi="Arial"/>
          <w:color w:val="1A202C"/>
          <w:sz w:val="22"/>
          <w:szCs w:val="22"/>
        </w:rPr>
        <w:t xml:space="preserve">Pricing dissatisfaction accounts for over 51% of all churn. MTN Nigeria should conduct an urgent tariff review to align call rates and data plan pricing with market rates and customer expectations.</w:t>
      </w:r>
    </w:p>
    <w:p>
      <w:pPr>
        <w:pStyle w:val="ListParagraph"/>
        <w:numPr>
          <w:ilvl w:val="0"/>
          <w:numId w:val="2"/>
        </w:numPr>
        <w:spacing w:after="80"/>
      </w:pPr>
      <w:r>
        <w:rPr>
          <w:rFonts w:ascii="Arial" w:cs="Arial" w:eastAsia="Arial" w:hAnsi="Arial"/>
          <w:b w:val="false"/>
          <w:bCs w:val="false"/>
          <w:color w:val="1A202C"/>
          <w:sz w:val="22"/>
          <w:szCs w:val="22"/>
        </w:rPr>
        <w:t xml:space="preserve">Introduce tiered micro-plan bundles for cost-sensitive customers (especially in low-income states like Kebbi, Yobe).</w:t>
      </w:r>
    </w:p>
    <w:p>
      <w:pPr>
        <w:pStyle w:val="ListParagraph"/>
        <w:numPr>
          <w:ilvl w:val="0"/>
          <w:numId w:val="2"/>
        </w:numPr>
        <w:spacing w:after="80"/>
      </w:pPr>
      <w:r>
        <w:rPr>
          <w:rFonts w:ascii="Arial" w:cs="Arial" w:eastAsia="Arial" w:hAnsi="Arial"/>
          <w:b w:val="false"/>
          <w:bCs w:val="false"/>
          <w:color w:val="1A202C"/>
          <w:sz w:val="22"/>
          <w:szCs w:val="22"/>
        </w:rPr>
        <w:t xml:space="preserve">Launch a loyalty pricing scheme offering 10–15% discounts for customers with 24+ months of tenure.</w:t>
      </w:r>
    </w:p>
    <w:p>
      <w:pPr>
        <w:pStyle w:val="ListParagraph"/>
        <w:numPr>
          <w:ilvl w:val="0"/>
          <w:numId w:val="2"/>
        </w:numPr>
        <w:spacing w:after="80"/>
      </w:pPr>
      <w:r>
        <w:rPr>
          <w:rFonts w:ascii="Arial" w:cs="Arial" w:eastAsia="Arial" w:hAnsi="Arial"/>
          <w:b w:val="false"/>
          <w:bCs w:val="false"/>
          <w:color w:val="1A202C"/>
          <w:sz w:val="22"/>
          <w:szCs w:val="22"/>
        </w:rPr>
        <w:t xml:space="preserve">Bundle data and voice minutes to improve perceived value over standalone plans.</w:t>
      </w:r>
    </w:p>
    <w:p>
      <w:pPr>
        <w:pStyle w:val="ListParagraph"/>
        <w:numPr>
          <w:ilvl w:val="0"/>
          <w:numId w:val="2"/>
        </w:numPr>
        <w:spacing w:after="80"/>
      </w:pPr>
      <w:r>
        <w:rPr>
          <w:rFonts w:ascii="Arial" w:cs="Arial" w:eastAsia="Arial" w:hAnsi="Arial"/>
          <w:b w:val="false"/>
          <w:bCs w:val="false"/>
          <w:color w:val="1A202C"/>
          <w:sz w:val="22"/>
          <w:szCs w:val="22"/>
        </w:rPr>
        <w:t xml:space="preserve">Evaluate the 200GB Monthly Broadband Plan pricing relative to competitor equivalents.</w:t>
      </w:r>
    </w:p>
    <w:p>
      <w:pPr>
        <w:spacing w:after="80"/>
      </w:pPr>
    </w:p>
    <w:p>
      <w:pPr>
        <w:pStyle w:val="Heading2"/>
        <w:spacing w:after="80" w:before="240"/>
      </w:pPr>
      <w:r>
        <w:rPr>
          <w:rFonts w:ascii="Arial" w:cs="Arial" w:eastAsia="Arial" w:hAnsi="Arial"/>
          <w:b/>
          <w:bCs/>
          <w:color w:val="0D1B40"/>
          <w:sz w:val="26"/>
          <w:szCs w:val="26"/>
        </w:rPr>
        <w:t xml:space="preserve">REC 02 — Launch a Competitive Response Programme [HIGH PRIORITY]</w:t>
      </w:r>
    </w:p>
    <w:p>
      <w:pPr>
        <w:spacing w:after="120"/>
      </w:pPr>
      <w:r>
        <w:rPr>
          <w:rFonts w:ascii="Arial" w:cs="Arial" w:eastAsia="Arial" w:hAnsi="Arial"/>
          <w:color w:val="1A202C"/>
          <w:sz w:val="22"/>
          <w:szCs w:val="22"/>
        </w:rPr>
        <w:t xml:space="preserve">With 18.3% of churned customers citing better competitor offers, MTN needs a structured competitive intelligence and retention response system.</w:t>
      </w:r>
    </w:p>
    <w:p>
      <w:pPr>
        <w:pStyle w:val="ListParagraph"/>
        <w:numPr>
          <w:ilvl w:val="0"/>
          <w:numId w:val="2"/>
        </w:numPr>
        <w:spacing w:after="80"/>
      </w:pPr>
      <w:r>
        <w:rPr>
          <w:rFonts w:ascii="Arial" w:cs="Arial" w:eastAsia="Arial" w:hAnsi="Arial"/>
          <w:b w:val="false"/>
          <w:bCs w:val="false"/>
          <w:color w:val="1A202C"/>
          <w:sz w:val="22"/>
          <w:szCs w:val="22"/>
        </w:rPr>
        <w:t xml:space="preserve">Establish a customer retention desk with authority to offer personalised counter-offers.</w:t>
      </w:r>
    </w:p>
    <w:p>
      <w:pPr>
        <w:pStyle w:val="ListParagraph"/>
        <w:numPr>
          <w:ilvl w:val="0"/>
          <w:numId w:val="2"/>
        </w:numPr>
        <w:spacing w:after="80"/>
      </w:pPr>
      <w:r>
        <w:rPr>
          <w:rFonts w:ascii="Arial" w:cs="Arial" w:eastAsia="Arial" w:hAnsi="Arial"/>
          <w:b w:val="false"/>
          <w:bCs w:val="false"/>
          <w:color w:val="1A202C"/>
          <w:sz w:val="22"/>
          <w:szCs w:val="22"/>
        </w:rPr>
        <w:t xml:space="preserve">Implement real-time alerts when customers access competitor comparison platforms or portability services.</w:t>
      </w:r>
    </w:p>
    <w:p>
      <w:pPr>
        <w:pStyle w:val="ListParagraph"/>
        <w:numPr>
          <w:ilvl w:val="0"/>
          <w:numId w:val="2"/>
        </w:numPr>
        <w:spacing w:after="80"/>
      </w:pPr>
      <w:r>
        <w:rPr>
          <w:rFonts w:ascii="Arial" w:cs="Arial" w:eastAsia="Arial" w:hAnsi="Arial"/>
          <w:b w:val="false"/>
          <w:bCs w:val="false"/>
          <w:color w:val="1A202C"/>
          <w:sz w:val="22"/>
          <w:szCs w:val="22"/>
        </w:rPr>
        <w:t xml:space="preserve">Create a win-back programme offering 3-month discount promotions or bonus data for at-risk subscribers.</w:t>
      </w:r>
    </w:p>
    <w:p>
      <w:pPr>
        <w:spacing w:after="80"/>
      </w:pPr>
    </w:p>
    <w:p>
      <w:pPr>
        <w:pStyle w:val="Heading2"/>
        <w:spacing w:after="80" w:before="240"/>
      </w:pPr>
      <w:r>
        <w:rPr>
          <w:rFonts w:ascii="Arial" w:cs="Arial" w:eastAsia="Arial" w:hAnsi="Arial"/>
          <w:b/>
          <w:bCs/>
          <w:color w:val="0D1B40"/>
          <w:sz w:val="26"/>
          <w:szCs w:val="26"/>
        </w:rPr>
        <w:t xml:space="preserve">REC 03 — Network Quality Upgrades in High-Churn States [HIGH PRIORITY]</w:t>
      </w:r>
    </w:p>
    <w:p>
      <w:pPr>
        <w:spacing w:after="120"/>
      </w:pPr>
      <w:r>
        <w:rPr>
          <w:rFonts w:ascii="Arial" w:cs="Arial" w:eastAsia="Arial" w:hAnsi="Arial"/>
          <w:color w:val="1A202C"/>
          <w:sz w:val="22"/>
          <w:szCs w:val="22"/>
        </w:rPr>
        <w:t xml:space="preserve">Poor network is the third most-cited churn reason (15.8%). Geographic analysis identifies Adamawa, Imo, and Kebbi as states with churn rates exceeding 48%.</w:t>
      </w:r>
    </w:p>
    <w:p>
      <w:pPr>
        <w:pStyle w:val="ListParagraph"/>
        <w:numPr>
          <w:ilvl w:val="0"/>
          <w:numId w:val="2"/>
        </w:numPr>
        <w:spacing w:after="80"/>
      </w:pPr>
      <w:r>
        <w:rPr>
          <w:rFonts w:ascii="Arial" w:cs="Arial" w:eastAsia="Arial" w:hAnsi="Arial"/>
          <w:b w:val="false"/>
          <w:bCs w:val="false"/>
          <w:color w:val="1A202C"/>
          <w:sz w:val="22"/>
          <w:szCs w:val="22"/>
        </w:rPr>
        <w:t xml:space="preserve">Commission infrastructure audits in the three critical states (Adamawa 61.1%, Imo 51.7%, Kebbi 48.3%).</w:t>
      </w:r>
    </w:p>
    <w:p>
      <w:pPr>
        <w:pStyle w:val="ListParagraph"/>
        <w:numPr>
          <w:ilvl w:val="0"/>
          <w:numId w:val="2"/>
        </w:numPr>
        <w:spacing w:after="80"/>
      </w:pPr>
      <w:r>
        <w:rPr>
          <w:rFonts w:ascii="Arial" w:cs="Arial" w:eastAsia="Arial" w:hAnsi="Arial"/>
          <w:b w:val="false"/>
          <w:bCs w:val="false"/>
          <w:color w:val="1A202C"/>
          <w:sz w:val="22"/>
          <w:szCs w:val="22"/>
        </w:rPr>
        <w:t xml:space="preserve">Prioritise 4G/5G tower upgrades and fibre backhaul improvements in underserved regions.</w:t>
      </w:r>
    </w:p>
    <w:p>
      <w:pPr>
        <w:pStyle w:val="ListParagraph"/>
        <w:numPr>
          <w:ilvl w:val="0"/>
          <w:numId w:val="2"/>
        </w:numPr>
        <w:spacing w:after="80"/>
      </w:pPr>
      <w:r>
        <w:rPr>
          <w:rFonts w:ascii="Arial" w:cs="Arial" w:eastAsia="Arial" w:hAnsi="Arial"/>
          <w:b w:val="false"/>
          <w:bCs w:val="false"/>
          <w:color w:val="1A202C"/>
          <w:sz w:val="22"/>
          <w:szCs w:val="22"/>
        </w:rPr>
        <w:t xml:space="preserve">Introduce a network satisfaction guarantee in high-risk states — offering service credits for downtime.</w:t>
      </w:r>
    </w:p>
    <w:p>
      <w:pPr>
        <w:spacing w:after="80"/>
      </w:pPr>
    </w:p>
    <w:p>
      <w:pPr>
        <w:pStyle w:val="Heading2"/>
        <w:spacing w:after="80" w:before="240"/>
      </w:pPr>
      <w:r>
        <w:rPr>
          <w:rFonts w:ascii="Arial" w:cs="Arial" w:eastAsia="Arial" w:hAnsi="Arial"/>
          <w:b/>
          <w:bCs/>
          <w:color w:val="0D1B40"/>
          <w:sz w:val="26"/>
          <w:szCs w:val="26"/>
        </w:rPr>
        <w:t xml:space="preserve">REC 04 — Mobile SIM Card Retention Strategy [MEDIUM PRIORITY]</w:t>
      </w:r>
    </w:p>
    <w:p>
      <w:pPr>
        <w:spacing w:after="120"/>
      </w:pPr>
      <w:r>
        <w:rPr>
          <w:rFonts w:ascii="Arial" w:cs="Arial" w:eastAsia="Arial" w:hAnsi="Arial"/>
          <w:color w:val="1A202C"/>
          <w:sz w:val="22"/>
          <w:szCs w:val="22"/>
        </w:rPr>
        <w:t xml:space="preserve">Mobile SIM Card users have the highest churn rate (31.2%) and the lowest switching cost. Reducing this segment’s churn by 5 percentage points would recover approximately ₦3M per quarter.</w:t>
      </w:r>
    </w:p>
    <w:p>
      <w:pPr>
        <w:pStyle w:val="ListParagraph"/>
        <w:numPr>
          <w:ilvl w:val="0"/>
          <w:numId w:val="2"/>
        </w:numPr>
        <w:spacing w:after="80"/>
      </w:pPr>
      <w:r>
        <w:rPr>
          <w:rFonts w:ascii="Arial" w:cs="Arial" w:eastAsia="Arial" w:hAnsi="Arial"/>
          <w:b w:val="false"/>
          <w:bCs w:val="false"/>
          <w:color w:val="1A202C"/>
          <w:sz w:val="22"/>
          <w:szCs w:val="22"/>
        </w:rPr>
        <w:t xml:space="preserve">Deploy targeted SMS campaigns to SIM-only customers at months 6, 12, and 18 with exclusive renewal offers.</w:t>
      </w:r>
    </w:p>
    <w:p>
      <w:pPr>
        <w:pStyle w:val="ListParagraph"/>
        <w:numPr>
          <w:ilvl w:val="0"/>
          <w:numId w:val="2"/>
        </w:numPr>
        <w:spacing w:after="80"/>
      </w:pPr>
      <w:r>
        <w:rPr>
          <w:rFonts w:ascii="Arial" w:cs="Arial" w:eastAsia="Arial" w:hAnsi="Arial"/>
          <w:b w:val="false"/>
          <w:bCs w:val="false"/>
          <w:color w:val="1A202C"/>
          <w:sz w:val="22"/>
          <w:szCs w:val="22"/>
        </w:rPr>
        <w:t xml:space="preserve">Create SIM-only loyalty rewards — monthly bonus data, call credits, or cashback — for long-tenure mobile users.</w:t>
      </w:r>
    </w:p>
    <w:p>
      <w:pPr>
        <w:pStyle w:val="ListParagraph"/>
        <w:numPr>
          <w:ilvl w:val="0"/>
          <w:numId w:val="2"/>
        </w:numPr>
        <w:spacing w:after="80"/>
      </w:pPr>
      <w:r>
        <w:rPr>
          <w:rFonts w:ascii="Arial" w:cs="Arial" w:eastAsia="Arial" w:hAnsi="Arial"/>
          <w:b w:val="false"/>
          <w:bCs w:val="false"/>
          <w:color w:val="1A202C"/>
          <w:sz w:val="22"/>
          <w:szCs w:val="22"/>
        </w:rPr>
        <w:t xml:space="preserve">Partner with handset brands to offer subsidised upgrade paths that deepen MTN product engagement.</w:t>
      </w:r>
    </w:p>
    <w:p>
      <w:pPr>
        <w:spacing w:after="80"/>
      </w:pPr>
    </w:p>
    <w:p>
      <w:pPr>
        <w:pStyle w:val="Heading2"/>
        <w:spacing w:after="80" w:before="240"/>
      </w:pPr>
      <w:r>
        <w:rPr>
          <w:rFonts w:ascii="Arial" w:cs="Arial" w:eastAsia="Arial" w:hAnsi="Arial"/>
          <w:b/>
          <w:bCs/>
          <w:color w:val="0D1B40"/>
          <w:sz w:val="26"/>
          <w:szCs w:val="26"/>
        </w:rPr>
        <w:t xml:space="preserve">REC 05 — Mid-Career Segment (36–45 Years) Product Focus [MEDIUM PRIORITY]</w:t>
      </w:r>
    </w:p>
    <w:p>
      <w:pPr>
        <w:spacing w:after="120"/>
      </w:pPr>
      <w:r>
        <w:rPr>
          <w:rFonts w:ascii="Arial" w:cs="Arial" w:eastAsia="Arial" w:hAnsi="Arial"/>
          <w:color w:val="1A202C"/>
          <w:sz w:val="22"/>
          <w:szCs w:val="22"/>
        </w:rPr>
        <w:t xml:space="preserve">Customers aged 36–45 are the most likely to churn (36.6%), likely driven by price sensitivity and awareness of alternatives.</w:t>
      </w:r>
    </w:p>
    <w:p>
      <w:pPr>
        <w:pStyle w:val="ListParagraph"/>
        <w:numPr>
          <w:ilvl w:val="0"/>
          <w:numId w:val="2"/>
        </w:numPr>
        <w:spacing w:after="80"/>
      </w:pPr>
      <w:r>
        <w:rPr>
          <w:rFonts w:ascii="Arial" w:cs="Arial" w:eastAsia="Arial" w:hAnsi="Arial"/>
          <w:b w:val="false"/>
          <w:bCs w:val="false"/>
          <w:color w:val="1A202C"/>
          <w:sz w:val="22"/>
          <w:szCs w:val="22"/>
        </w:rPr>
        <w:t xml:space="preserve">Design a “Professional Bundle” combining stable pricing, premium data allowances, and roaming benefits.</w:t>
      </w:r>
    </w:p>
    <w:p>
      <w:pPr>
        <w:pStyle w:val="ListParagraph"/>
        <w:numPr>
          <w:ilvl w:val="0"/>
          <w:numId w:val="2"/>
        </w:numPr>
        <w:spacing w:after="80"/>
      </w:pPr>
      <w:r>
        <w:rPr>
          <w:rFonts w:ascii="Arial" w:cs="Arial" w:eastAsia="Arial" w:hAnsi="Arial"/>
          <w:b w:val="false"/>
          <w:bCs w:val="false"/>
          <w:color w:val="1A202C"/>
          <w:sz w:val="22"/>
          <w:szCs w:val="22"/>
        </w:rPr>
        <w:t xml:space="preserve">Offer B2B-lite packages suited to freelancers and small business owners in this demographic.</w:t>
      </w:r>
    </w:p>
    <w:p>
      <w:pPr>
        <w:pStyle w:val="ListParagraph"/>
        <w:numPr>
          <w:ilvl w:val="0"/>
          <w:numId w:val="2"/>
        </w:numPr>
        <w:spacing w:after="80"/>
      </w:pPr>
      <w:r>
        <w:rPr>
          <w:rFonts w:ascii="Arial" w:cs="Arial" w:eastAsia="Arial" w:hAnsi="Arial"/>
          <w:b w:val="false"/>
          <w:bCs w:val="false"/>
          <w:color w:val="1A202C"/>
          <w:sz w:val="22"/>
          <w:szCs w:val="22"/>
        </w:rPr>
        <w:t xml:space="preserve">Run targeted digital marketing campaigns on LinkedIn and professional platforms where this cohort is active.</w:t>
      </w:r>
    </w:p>
    <w:p>
      <w:pPr>
        <w:spacing w:after="80"/>
      </w:pPr>
    </w:p>
    <w:p>
      <w:pPr>
        <w:pStyle w:val="Heading2"/>
        <w:spacing w:after="80" w:before="240"/>
      </w:pPr>
      <w:r>
        <w:rPr>
          <w:rFonts w:ascii="Arial" w:cs="Arial" w:eastAsia="Arial" w:hAnsi="Arial"/>
          <w:b/>
          <w:bCs/>
          <w:color w:val="0D1B40"/>
          <w:sz w:val="26"/>
          <w:szCs w:val="26"/>
        </w:rPr>
        <w:t xml:space="preserve">REC 06 — Customer Service Quality Overhaul [MEDIUM PRIORITY]</w:t>
      </w:r>
    </w:p>
    <w:p>
      <w:pPr>
        <w:spacing w:after="120"/>
      </w:pPr>
      <w:r>
        <w:rPr>
          <w:rFonts w:ascii="Arial" w:cs="Arial" w:eastAsia="Arial" w:hAnsi="Arial"/>
          <w:color w:val="1A202C"/>
          <w:sz w:val="22"/>
          <w:szCs w:val="22"/>
        </w:rPr>
        <w:t xml:space="preserve">Poor customer service caused 12% of churn (34 customers). Service quality is a controllable variable that MTN can improve rapidly.</w:t>
      </w:r>
    </w:p>
    <w:p>
      <w:pPr>
        <w:pStyle w:val="ListParagraph"/>
        <w:numPr>
          <w:ilvl w:val="0"/>
          <w:numId w:val="2"/>
        </w:numPr>
        <w:spacing w:after="80"/>
      </w:pPr>
      <w:r>
        <w:rPr>
          <w:rFonts w:ascii="Arial" w:cs="Arial" w:eastAsia="Arial" w:hAnsi="Arial"/>
          <w:b w:val="false"/>
          <w:bCs w:val="false"/>
          <w:color w:val="1A202C"/>
          <w:sz w:val="22"/>
          <w:szCs w:val="22"/>
        </w:rPr>
        <w:t xml:space="preserve">Set and enforce resolution time KPIs — targeting resolution within 24 hours for all tier-1 complaints.</w:t>
      </w:r>
    </w:p>
    <w:p>
      <w:pPr>
        <w:pStyle w:val="ListParagraph"/>
        <w:numPr>
          <w:ilvl w:val="0"/>
          <w:numId w:val="2"/>
        </w:numPr>
        <w:spacing w:after="80"/>
      </w:pPr>
      <w:r>
        <w:rPr>
          <w:rFonts w:ascii="Arial" w:cs="Arial" w:eastAsia="Arial" w:hAnsi="Arial"/>
          <w:b w:val="false"/>
          <w:bCs w:val="false"/>
          <w:color w:val="1A202C"/>
          <w:sz w:val="22"/>
          <w:szCs w:val="22"/>
        </w:rPr>
        <w:t xml:space="preserve">Train frontline agents on retention empathy — identifying at-risk signals and escalating proactively.</w:t>
      </w:r>
    </w:p>
    <w:p>
      <w:pPr>
        <w:pStyle w:val="ListParagraph"/>
        <w:numPr>
          <w:ilvl w:val="0"/>
          <w:numId w:val="2"/>
        </w:numPr>
        <w:spacing w:after="80"/>
      </w:pPr>
      <w:r>
        <w:rPr>
          <w:rFonts w:ascii="Arial" w:cs="Arial" w:eastAsia="Arial" w:hAnsi="Arial"/>
          <w:b w:val="false"/>
          <w:bCs w:val="false"/>
          <w:color w:val="1A202C"/>
          <w:sz w:val="22"/>
          <w:szCs w:val="22"/>
        </w:rPr>
        <w:t xml:space="preserve">Launch a proactive callback programme for customers who log unresolved complaints within 48 hours.</w:t>
      </w:r>
    </w:p>
    <w:p>
      <w:pPr>
        <w:pStyle w:val="ListParagraph"/>
        <w:numPr>
          <w:ilvl w:val="0"/>
          <w:numId w:val="2"/>
        </w:numPr>
        <w:spacing w:after="80"/>
      </w:pPr>
      <w:r>
        <w:rPr>
          <w:rFonts w:ascii="Arial" w:cs="Arial" w:eastAsia="Arial" w:hAnsi="Arial"/>
          <w:b w:val="false"/>
          <w:bCs w:val="false"/>
          <w:color w:val="1A202C"/>
          <w:sz w:val="22"/>
          <w:szCs w:val="22"/>
        </w:rPr>
        <w:t xml:space="preserve">Introduce post-interaction NPS surveys and track agent-level satisfaction scores monthly.</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10. Implementation Roadmap</w:t>
      </w:r>
    </w:p>
    <w:p>
      <w:pPr>
        <w:pBdr>
          <w:bottom w:val="single" w:color="C8840A" w:sz="6" w:space="1"/>
        </w:pBdr>
        <w:spacing w:after="100" w:before="100"/>
      </w:pPr>
    </w:p>
    <w:p>
      <w:pPr>
        <w:pStyle w:val="Heading2"/>
        <w:spacing w:after="80" w:before="240"/>
      </w:pPr>
      <w:r>
        <w:rPr>
          <w:rFonts w:ascii="Arial" w:cs="Arial" w:eastAsia="Arial" w:hAnsi="Arial"/>
          <w:b/>
          <w:bCs/>
          <w:color w:val="0D1B40"/>
          <w:sz w:val="26"/>
          <w:szCs w:val="26"/>
        </w:rPr>
        <w:t xml:space="preserve">10.1 Immediate Actions (0–30 days)</w:t>
      </w:r>
    </w:p>
    <w:p>
      <w:pPr>
        <w:pStyle w:val="ListParagraph"/>
        <w:numPr>
          <w:ilvl w:val="0"/>
          <w:numId w:val="2"/>
        </w:numPr>
        <w:spacing w:after="80"/>
      </w:pPr>
      <w:r>
        <w:rPr>
          <w:rFonts w:ascii="Arial" w:cs="Arial" w:eastAsia="Arial" w:hAnsi="Arial"/>
          <w:b w:val="false"/>
          <w:bCs w:val="false"/>
          <w:color w:val="1A202C"/>
          <w:sz w:val="22"/>
          <w:szCs w:val="22"/>
        </w:rPr>
        <w:t xml:space="preserve">Audit current call tariff and data pricing against competitor market rates.</w:t>
      </w:r>
    </w:p>
    <w:p>
      <w:pPr>
        <w:pStyle w:val="ListParagraph"/>
        <w:numPr>
          <w:ilvl w:val="0"/>
          <w:numId w:val="2"/>
        </w:numPr>
        <w:spacing w:after="80"/>
      </w:pPr>
      <w:r>
        <w:rPr>
          <w:rFonts w:ascii="Arial" w:cs="Arial" w:eastAsia="Arial" w:hAnsi="Arial"/>
          <w:b w:val="false"/>
          <w:bCs w:val="false"/>
          <w:color w:val="1A202C"/>
          <w:sz w:val="22"/>
          <w:szCs w:val="22"/>
        </w:rPr>
        <w:t xml:space="preserve">Establish a customer retention hotline staffed by trained retention agents.</w:t>
      </w:r>
    </w:p>
    <w:p>
      <w:pPr>
        <w:pStyle w:val="ListParagraph"/>
        <w:numPr>
          <w:ilvl w:val="0"/>
          <w:numId w:val="2"/>
        </w:numPr>
        <w:spacing w:after="80"/>
      </w:pPr>
      <w:r>
        <w:rPr>
          <w:rFonts w:ascii="Arial" w:cs="Arial" w:eastAsia="Arial" w:hAnsi="Arial"/>
          <w:b w:val="false"/>
          <w:bCs w:val="false"/>
          <w:color w:val="1A202C"/>
          <w:sz w:val="22"/>
          <w:szCs w:val="22"/>
        </w:rPr>
        <w:t xml:space="preserve">Identify and flag the top 50 highest-risk customers based on tenure, satisfaction score, and data usage patterns.</w:t>
      </w:r>
    </w:p>
    <w:p>
      <w:pPr>
        <w:pStyle w:val="ListParagraph"/>
        <w:numPr>
          <w:ilvl w:val="0"/>
          <w:numId w:val="2"/>
        </w:numPr>
        <w:spacing w:after="80"/>
      </w:pPr>
      <w:r>
        <w:rPr>
          <w:rFonts w:ascii="Arial" w:cs="Arial" w:eastAsia="Arial" w:hAnsi="Arial"/>
          <w:b w:val="false"/>
          <w:bCs w:val="false"/>
          <w:color w:val="1A202C"/>
          <w:sz w:val="22"/>
          <w:szCs w:val="22"/>
        </w:rPr>
        <w:t xml:space="preserve">Commission network quality audits in Adamawa, Imo, and Kebbi.</w:t>
      </w:r>
    </w:p>
    <w:p>
      <w:pPr>
        <w:spacing w:after="80"/>
      </w:pPr>
    </w:p>
    <w:p>
      <w:pPr>
        <w:pStyle w:val="Heading2"/>
        <w:spacing w:after="80" w:before="240"/>
      </w:pPr>
      <w:r>
        <w:rPr>
          <w:rFonts w:ascii="Arial" w:cs="Arial" w:eastAsia="Arial" w:hAnsi="Arial"/>
          <w:b/>
          <w:bCs/>
          <w:color w:val="0D1B40"/>
          <w:sz w:val="26"/>
          <w:szCs w:val="26"/>
        </w:rPr>
        <w:t xml:space="preserve">10.2 Short-Term Actions (1–3 months)</w:t>
      </w:r>
    </w:p>
    <w:p>
      <w:pPr>
        <w:pStyle w:val="ListParagraph"/>
        <w:numPr>
          <w:ilvl w:val="0"/>
          <w:numId w:val="2"/>
        </w:numPr>
        <w:spacing w:after="80"/>
      </w:pPr>
      <w:r>
        <w:rPr>
          <w:rFonts w:ascii="Arial" w:cs="Arial" w:eastAsia="Arial" w:hAnsi="Arial"/>
          <w:b w:val="false"/>
          <w:bCs w:val="false"/>
          <w:color w:val="1A202C"/>
          <w:sz w:val="22"/>
          <w:szCs w:val="22"/>
        </w:rPr>
        <w:t xml:space="preserve">Launch revised data bundles and loyalty pricing tiers.</w:t>
      </w:r>
    </w:p>
    <w:p>
      <w:pPr>
        <w:pStyle w:val="ListParagraph"/>
        <w:numPr>
          <w:ilvl w:val="0"/>
          <w:numId w:val="2"/>
        </w:numPr>
        <w:spacing w:after="80"/>
      </w:pPr>
      <w:r>
        <w:rPr>
          <w:rFonts w:ascii="Arial" w:cs="Arial" w:eastAsia="Arial" w:hAnsi="Arial"/>
          <w:b w:val="false"/>
          <w:bCs w:val="false"/>
          <w:color w:val="1A202C"/>
          <w:sz w:val="22"/>
          <w:szCs w:val="22"/>
        </w:rPr>
        <w:t xml:space="preserve">Roll out a pilot win-back campaign in the top three churn states.</w:t>
      </w:r>
    </w:p>
    <w:p>
      <w:pPr>
        <w:pStyle w:val="ListParagraph"/>
        <w:numPr>
          <w:ilvl w:val="0"/>
          <w:numId w:val="2"/>
        </w:numPr>
        <w:spacing w:after="80"/>
      </w:pPr>
      <w:r>
        <w:rPr>
          <w:rFonts w:ascii="Arial" w:cs="Arial" w:eastAsia="Arial" w:hAnsi="Arial"/>
          <w:b w:val="false"/>
          <w:bCs w:val="false"/>
          <w:color w:val="1A202C"/>
          <w:sz w:val="22"/>
          <w:szCs w:val="22"/>
        </w:rPr>
        <w:t xml:space="preserve">Begin 4G infrastructure upgrades in Adamawa and Imo.</w:t>
      </w:r>
    </w:p>
    <w:p>
      <w:pPr>
        <w:pStyle w:val="ListParagraph"/>
        <w:numPr>
          <w:ilvl w:val="0"/>
          <w:numId w:val="2"/>
        </w:numPr>
        <w:spacing w:after="80"/>
      </w:pPr>
      <w:r>
        <w:rPr>
          <w:rFonts w:ascii="Arial" w:cs="Arial" w:eastAsia="Arial" w:hAnsi="Arial"/>
          <w:b w:val="false"/>
          <w:bCs w:val="false"/>
          <w:color w:val="1A202C"/>
          <w:sz w:val="22"/>
          <w:szCs w:val="22"/>
        </w:rPr>
        <w:t xml:space="preserve">Introduce post-interaction NPS surveys across all customer service touchpoints.</w:t>
      </w:r>
    </w:p>
    <w:p>
      <w:pPr>
        <w:pStyle w:val="ListParagraph"/>
        <w:numPr>
          <w:ilvl w:val="0"/>
          <w:numId w:val="2"/>
        </w:numPr>
        <w:spacing w:after="80"/>
      </w:pPr>
      <w:r>
        <w:rPr>
          <w:rFonts w:ascii="Arial" w:cs="Arial" w:eastAsia="Arial" w:hAnsi="Arial"/>
          <w:b w:val="false"/>
          <w:bCs w:val="false"/>
          <w:color w:val="1A202C"/>
          <w:sz w:val="22"/>
          <w:szCs w:val="22"/>
        </w:rPr>
        <w:t xml:space="preserve">Create and distribute Professional Bundle targeting the 36–45 age demographic.</w:t>
      </w:r>
    </w:p>
    <w:p>
      <w:pPr>
        <w:spacing w:after="80"/>
      </w:pPr>
    </w:p>
    <w:p>
      <w:pPr>
        <w:pStyle w:val="Heading2"/>
        <w:spacing w:after="80" w:before="240"/>
      </w:pPr>
      <w:r>
        <w:rPr>
          <w:rFonts w:ascii="Arial" w:cs="Arial" w:eastAsia="Arial" w:hAnsi="Arial"/>
          <w:b/>
          <w:bCs/>
          <w:color w:val="0D1B40"/>
          <w:sz w:val="26"/>
          <w:szCs w:val="26"/>
        </w:rPr>
        <w:t xml:space="preserve">10.3 Long-Term Actions (3–6 months)</w:t>
      </w:r>
    </w:p>
    <w:p>
      <w:pPr>
        <w:pStyle w:val="ListParagraph"/>
        <w:numPr>
          <w:ilvl w:val="0"/>
          <w:numId w:val="2"/>
        </w:numPr>
        <w:spacing w:after="80"/>
      </w:pPr>
      <w:r>
        <w:rPr>
          <w:rFonts w:ascii="Arial" w:cs="Arial" w:eastAsia="Arial" w:hAnsi="Arial"/>
          <w:b w:val="false"/>
          <w:bCs w:val="false"/>
          <w:color w:val="1A202C"/>
          <w:sz w:val="22"/>
          <w:szCs w:val="22"/>
        </w:rPr>
        <w:t xml:space="preserve">Build a predictive churn model using machine learning (Random Forest or Gradient Boosting) trained on the full customer dataset.</w:t>
      </w:r>
    </w:p>
    <w:p>
      <w:pPr>
        <w:pStyle w:val="ListParagraph"/>
        <w:numPr>
          <w:ilvl w:val="0"/>
          <w:numId w:val="2"/>
        </w:numPr>
        <w:spacing w:after="80"/>
      </w:pPr>
      <w:r>
        <w:rPr>
          <w:rFonts w:ascii="Arial" w:cs="Arial" w:eastAsia="Arial" w:hAnsi="Arial"/>
          <w:b w:val="false"/>
          <w:bCs w:val="false"/>
          <w:color w:val="1A202C"/>
          <w:sz w:val="22"/>
          <w:szCs w:val="22"/>
        </w:rPr>
        <w:t xml:space="preserve">Implement a churn early-warning dashboard for the customer success team.</w:t>
      </w:r>
    </w:p>
    <w:p>
      <w:pPr>
        <w:pStyle w:val="ListParagraph"/>
        <w:numPr>
          <w:ilvl w:val="0"/>
          <w:numId w:val="2"/>
        </w:numPr>
        <w:spacing w:after="80"/>
      </w:pPr>
      <w:r>
        <w:rPr>
          <w:rFonts w:ascii="Arial" w:cs="Arial" w:eastAsia="Arial" w:hAnsi="Arial"/>
          <w:b w:val="false"/>
          <w:bCs w:val="false"/>
          <w:color w:val="1A202C"/>
          <w:sz w:val="22"/>
          <w:szCs w:val="22"/>
        </w:rPr>
        <w:t xml:space="preserve">Expand the SIM Card loyalty rewards programme nationally.</w:t>
      </w:r>
    </w:p>
    <w:p>
      <w:pPr>
        <w:pStyle w:val="ListParagraph"/>
        <w:numPr>
          <w:ilvl w:val="0"/>
          <w:numId w:val="2"/>
        </w:numPr>
        <w:spacing w:after="80"/>
      </w:pPr>
      <w:r>
        <w:rPr>
          <w:rFonts w:ascii="Arial" w:cs="Arial" w:eastAsia="Arial" w:hAnsi="Arial"/>
          <w:b w:val="false"/>
          <w:bCs w:val="false"/>
          <w:color w:val="1A202C"/>
          <w:sz w:val="22"/>
          <w:szCs w:val="22"/>
        </w:rPr>
        <w:t xml:space="preserve">Establish a quarterly churn review cycle to assess progress against targets.</w:t>
      </w:r>
    </w:p>
    <w:p>
      <w:pPr>
        <w:pStyle w:val="ListParagraph"/>
        <w:numPr>
          <w:ilvl w:val="0"/>
          <w:numId w:val="2"/>
        </w:numPr>
        <w:spacing w:after="80"/>
      </w:pPr>
      <w:r>
        <w:rPr>
          <w:rFonts w:ascii="Arial" w:cs="Arial" w:eastAsia="Arial" w:hAnsi="Arial"/>
          <w:b w:val="false"/>
          <w:bCs w:val="false"/>
          <w:color w:val="1A202C"/>
          <w:sz w:val="22"/>
          <w:szCs w:val="22"/>
        </w:rPr>
        <w:t xml:space="preserve">Target: Reduce overall churn rate from 29.2% to below 20% within two quarters.</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11. Limitations &amp; Caveats</w:t>
      </w:r>
    </w:p>
    <w:p>
      <w:pPr>
        <w:pBdr>
          <w:bottom w:val="single" w:color="C8840A" w:sz="6" w:space="1"/>
        </w:pBdr>
        <w:spacing w:after="100" w:before="100"/>
      </w:pPr>
    </w:p>
    <w:p>
      <w:pPr>
        <w:pStyle w:val="ListParagraph"/>
        <w:numPr>
          <w:ilvl w:val="0"/>
          <w:numId w:val="2"/>
        </w:numPr>
        <w:spacing w:after="80"/>
      </w:pPr>
      <w:r>
        <w:rPr>
          <w:rFonts w:ascii="Arial" w:cs="Arial" w:eastAsia="Arial" w:hAnsi="Arial"/>
          <w:b w:val="false"/>
          <w:bCs w:val="false"/>
          <w:color w:val="1A202C"/>
          <w:sz w:val="22"/>
          <w:szCs w:val="22"/>
        </w:rPr>
        <w:t xml:space="preserve">Single-Quarter Scope: The dataset covers Q1 2025 only. Seasonal trends or long-term patterns may not be fully captured in a three-month window.</w:t>
      </w:r>
    </w:p>
    <w:p>
      <w:pPr>
        <w:pStyle w:val="ListParagraph"/>
        <w:numPr>
          <w:ilvl w:val="0"/>
          <w:numId w:val="2"/>
        </w:numPr>
        <w:spacing w:after="80"/>
      </w:pPr>
      <w:r>
        <w:rPr>
          <w:rFonts w:ascii="Arial" w:cs="Arial" w:eastAsia="Arial" w:hAnsi="Arial"/>
          <w:b w:val="false"/>
          <w:bCs w:val="false"/>
          <w:color w:val="1A202C"/>
          <w:sz w:val="22"/>
          <w:szCs w:val="22"/>
        </w:rPr>
        <w:t xml:space="preserve">Self-Reported Reasons: Churn reasons are based on customer-stated feedback, which may not fully reflect true motivations. Customers may cite one reason while being influenced by multiple factors.</w:t>
      </w:r>
    </w:p>
    <w:p>
      <w:pPr>
        <w:pStyle w:val="ListParagraph"/>
        <w:numPr>
          <w:ilvl w:val="0"/>
          <w:numId w:val="2"/>
        </w:numPr>
        <w:spacing w:after="80"/>
      </w:pPr>
      <w:r>
        <w:rPr>
          <w:rFonts w:ascii="Arial" w:cs="Arial" w:eastAsia="Arial" w:hAnsi="Arial"/>
          <w:b w:val="false"/>
          <w:bCs w:val="false"/>
          <w:color w:val="1A202C"/>
          <w:sz w:val="22"/>
          <w:szCs w:val="22"/>
        </w:rPr>
        <w:t xml:space="preserve">Sample Size in High-Churn States: States like Adamawa (18 customers) have small sample sizes, which may inflate or underrepresent true churn rates. Findings from these states should be treated as indicative rather than definitive.</w:t>
      </w:r>
    </w:p>
    <w:p>
      <w:pPr>
        <w:pStyle w:val="ListParagraph"/>
        <w:numPr>
          <w:ilvl w:val="0"/>
          <w:numId w:val="2"/>
        </w:numPr>
        <w:spacing w:after="80"/>
      </w:pPr>
      <w:r>
        <w:rPr>
          <w:rFonts w:ascii="Arial" w:cs="Arial" w:eastAsia="Arial" w:hAnsi="Arial"/>
          <w:b w:val="false"/>
          <w:bCs w:val="false"/>
          <w:color w:val="1A202C"/>
          <w:sz w:val="22"/>
          <w:szCs w:val="22"/>
        </w:rPr>
        <w:t xml:space="preserve">No Competitor Data: The analysis does not incorporate competitor pricing, coverage maps, or market share data, which would enrich the interpretation of competitive churn.</w:t>
      </w:r>
    </w:p>
    <w:p>
      <w:pPr>
        <w:pStyle w:val="ListParagraph"/>
        <w:numPr>
          <w:ilvl w:val="0"/>
          <w:numId w:val="2"/>
        </w:numPr>
        <w:spacing w:after="80"/>
      </w:pPr>
      <w:r>
        <w:rPr>
          <w:rFonts w:ascii="Arial" w:cs="Arial" w:eastAsia="Arial" w:hAnsi="Arial"/>
          <w:b w:val="false"/>
          <w:bCs w:val="false"/>
          <w:color w:val="1A202C"/>
          <w:sz w:val="22"/>
          <w:szCs w:val="22"/>
        </w:rPr>
        <w:t xml:space="preserve">Revenue Aggregation: Revenue figures represent total revenue per customer rather than monthly recurring revenue (MRR), limiting direct month-on-month comparisons.</w:t>
      </w:r>
    </w:p>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12. Conclusion</w:t>
      </w:r>
    </w:p>
    <w:p>
      <w:pPr>
        <w:pBdr>
          <w:bottom w:val="single" w:color="C8840A" w:sz="6" w:space="1"/>
        </w:pBdr>
        <w:spacing w:after="100" w:before="100"/>
      </w:pPr>
    </w:p>
    <w:p>
      <w:pPr>
        <w:spacing w:after="120"/>
      </w:pPr>
      <w:r>
        <w:rPr>
          <w:rFonts w:ascii="Arial" w:cs="Arial" w:eastAsia="Arial" w:hAnsi="Arial"/>
          <w:color w:val="1A202C"/>
          <w:sz w:val="22"/>
          <w:szCs w:val="22"/>
        </w:rPr>
        <w:t xml:space="preserve">This analysis of MTN Nigeria’s Q1 2025 customer data reveals a churn challenge that is both significant and addressable. At 29.2%, the churn rate is above industry benchmarks and is translating into ₦58 million in quarterly revenue loss — a figure that, if left unchecked, amounts to approximately ₦232 million in annual attrition.</w:t>
      </w:r>
    </w:p>
    <w:p>
      <w:pPr>
        <w:spacing w:after="120"/>
      </w:pPr>
      <w:r>
        <w:rPr>
          <w:rFonts w:ascii="Arial" w:cs="Arial" w:eastAsia="Arial" w:hAnsi="Arial"/>
          <w:color w:val="1A202C"/>
          <w:sz w:val="22"/>
          <w:szCs w:val="22"/>
        </w:rPr>
        <w:t xml:space="preserve">The good news is that the dominant causes of churn — pricing, competitive alternatives, and network quality — are all within MTN’s sphere of influence. With targeted pricing reforms, regional network investments, and a structured customer retention programme, it is realistic to reduce churn by 10 percentage points within six months, recovering ₦20–30 million in quarterly revenue.</w:t>
      </w:r>
    </w:p>
    <w:p>
      <w:pPr>
        <w:spacing w:after="120"/>
      </w:pPr>
      <w:r>
        <w:rPr>
          <w:rFonts w:ascii="Arial" w:cs="Arial" w:eastAsia="Arial" w:hAnsi="Arial"/>
          <w:color w:val="1A202C"/>
          <w:sz w:val="22"/>
          <w:szCs w:val="22"/>
        </w:rPr>
        <w:t xml:space="preserve">The path forward is clear: listen to the data, act on the pricing signal, fix the network, and build loyalty systems that reward tenure. Customers who stay beyond 36 months represent a significant and stable revenue base — the priority must be ensuring they have compelling reasons to stay.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840A" w:sz="4"/>
              <w:left w:val="thick" w:color="C8840A" w:sz="12"/>
              <w:bottom w:val="single" w:color="C8840A" w:sz="4"/>
              <w:right w:val="none" w:color="FFFFFF" w:sz="0"/>
            </w:tcBorders>
            <w:shd w:fill="FFFBF0" w:val="clear"/>
            <w:tcMar>
              <w:top w:type="dxa" w:w="120"/>
              <w:left w:type="dxa" w:w="180"/>
              <w:bottom w:type="dxa" w:w="120"/>
              <w:right w:type="dxa" w:w="120"/>
            </w:tcMar>
          </w:tcPr>
          <w:p>
            <w:pPr>
              <w:spacing w:after="60"/>
            </w:pPr>
            <w:r>
              <w:rPr>
                <w:rFonts w:ascii="Arial" w:cs="Arial" w:eastAsia="Arial" w:hAnsi="Arial"/>
                <w:b/>
                <w:bCs/>
                <w:color w:val="C8840A"/>
                <w:sz w:val="20"/>
                <w:szCs w:val="20"/>
              </w:rPr>
              <w:t xml:space="preserve">FINAL RECOMMENDATION</w:t>
            </w:r>
          </w:p>
          <w:p>
            <w:pPr>
              <w:spacing w:after="0"/>
            </w:pPr>
            <w:r>
              <w:rPr>
                <w:rFonts w:ascii="Arial" w:cs="Arial" w:eastAsia="Arial" w:hAnsi="Arial"/>
                <w:color w:val="5C4A00"/>
                <w:sz w:val="21"/>
                <w:szCs w:val="21"/>
              </w:rPr>
              <w:t xml:space="preserve">Establish a dedicated Customer Retention Function within MTN Nigeria with a remit to own churn reduction as a business-critical KPI. This team should be empowered to act on real-time churn signals, counter competitive threats, and coordinate cross-functional retention programmes across network, pricing, and service teams.</w:t>
            </w:r>
          </w:p>
        </w:tc>
      </w:tr>
    </w:tbl>
    <w:p>
      <w:pPr>
        <w:spacing w:after="80"/>
      </w:pPr>
    </w:p>
    <w:p>
      <w:pPr>
        <w:spacing w:after="80"/>
      </w:pPr>
    </w:p>
    <w:p>
      <w:pPr>
        <w:spacing w:after="0"/>
      </w:pPr>
      <w:r>
        <w:br w:type="page"/>
      </w:r>
    </w:p>
    <w:p>
      <w:pPr>
        <w:pStyle w:val="Heading1"/>
        <w:spacing w:after="120" w:before="360"/>
      </w:pPr>
      <w:r>
        <w:rPr>
          <w:rFonts w:ascii="Arial" w:cs="Arial" w:eastAsia="Arial" w:hAnsi="Arial"/>
          <w:b/>
          <w:bCs/>
          <w:color w:val="0D1B40"/>
          <w:sz w:val="32"/>
          <w:szCs w:val="32"/>
        </w:rPr>
        <w:t xml:space="preserve">13. Appendix: Subscription Plan Summary</w:t>
      </w:r>
    </w:p>
    <w:p>
      <w:pPr>
        <w:pBdr>
          <w:bottom w:val="single" w:color="C8840A" w:sz="6" w:space="1"/>
        </w:pBdr>
        <w:spacing w:after="100" w:before="100"/>
      </w:pPr>
    </w:p>
    <w:p>
      <w:pPr>
        <w:spacing w:after="120"/>
      </w:pPr>
      <w:r>
        <w:rPr>
          <w:rFonts w:ascii="Arial" w:cs="Arial" w:eastAsia="Arial" w:hAnsi="Arial"/>
          <w:color w:val="1A202C"/>
          <w:sz w:val="22"/>
          <w:szCs w:val="22"/>
        </w:rPr>
        <w:t xml:space="preserve">The table below provides a complete overview of all 21 subscription plans in the dataset, sorted by subscriber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Subscription Plan</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Total Subscribers</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Churned</w:t>
            </w:r>
          </w:p>
        </w:tc>
        <w:tc>
          <w:tcPr>
            <w:tcW w:type="dxa" w:w="2340"/>
            <w:tcBorders>
              <w:top w:val="single" w:color="CBD5E0" w:sz="1"/>
              <w:left w:val="single" w:color="CBD5E0" w:sz="1"/>
              <w:bottom w:val="single" w:color="CBD5E0" w:sz="1"/>
              <w:right w:val="single" w:color="CBD5E0" w:sz="1"/>
            </w:tcBorders>
            <w:shd w:fill="0D1B40" w:val="clear"/>
            <w:tcMar>
              <w:top w:type="dxa" w:w="80"/>
              <w:left w:type="dxa" w:w="140"/>
              <w:bottom w:type="dxa" w:w="80"/>
              <w:right w:type="dxa" w:w="80"/>
            </w:tcMar>
          </w:tcPr>
          <w:p>
            <w:r>
              <w:rPr>
                <w:rFonts w:ascii="Arial" w:cs="Arial" w:eastAsia="Arial" w:hAnsi="Arial"/>
                <w:b/>
                <w:bCs/>
                <w:color w:val="FFFFFF"/>
                <w:sz w:val="20"/>
                <w:szCs w:val="20"/>
              </w:rPr>
              <w:t xml:space="preserve">Churn Rate</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60GB Monthly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81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25.9%</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150GB FUP Monthly Unlimited</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78</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19</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24.4%</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30GB Monthly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28.6%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165GB Monthly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73</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28.8%</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300GB FUP Monthly Unlimited</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22</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120GB Monthly Broadband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68</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20.6%</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10GB+10mins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67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20.9%</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65GB Monthly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63</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23</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36.5%</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25GB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16</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32.7%</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3.2GB 2-Day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42.9%</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200GB Monthly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31</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14</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45.2%</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2.5GB 2-Day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30</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8</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26.7%</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16.5GB+10mins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30</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23.3%</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500MB Daily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8</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27.6%</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1.5GB 2-Day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8</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27.6%</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Anambra</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29</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11</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37.9%</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7GB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25.9%</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1.5TB Yearly Broadband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25</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24.0%</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450GB 3-Month Broadband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7</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28.0%</w:t>
            </w:r>
          </w:p>
        </w:tc>
      </w:tr>
      <w:tr>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1GB+1.5mins Daily Plan</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24</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6</w:t>
            </w:r>
          </w:p>
        </w:tc>
        <w:tc>
          <w:tcPr>
            <w:tcW w:type="dxa" w:w="2340"/>
            <w:tcBorders>
              <w:top w:val="single" w:color="CBD5E0" w:sz="1"/>
              <w:left w:val="single" w:color="CBD5E0" w:sz="1"/>
              <w:bottom w:val="single" w:color="CBD5E0" w:sz="1"/>
              <w:right w:val="single" w:color="CBD5E0" w:sz="1"/>
            </w:tcBorders>
            <w:shd w:fill="F7FAFC" w:val="clear"/>
            <w:tcMar>
              <w:top w:type="dxa" w:w="80"/>
              <w:left w:type="dxa" w:w="140"/>
              <w:bottom w:type="dxa" w:w="80"/>
              <w:right w:type="dxa" w:w="80"/>
            </w:tcMar>
          </w:tcPr>
          <w:p>
            <w:r>
              <w:rPr>
                <w:rFonts w:ascii="Arial" w:cs="Arial" w:eastAsia="Arial" w:hAnsi="Arial"/>
                <w:color w:val="1A202C"/>
                <w:sz w:val="20"/>
                <w:szCs w:val="20"/>
              </w:rPr>
              <w:t xml:space="preserve">25.0%</w:t>
            </w:r>
          </w:p>
        </w:tc>
      </w:tr>
      <w:tr>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20GB Monthly Plan</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23</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5</w:t>
            </w:r>
          </w:p>
        </w:tc>
        <w:tc>
          <w:tcPr>
            <w:tcW w:type="dxa" w:w="2340"/>
            <w:tcBorders>
              <w:top w:val="single" w:color="CBD5E0" w:sz="1"/>
              <w:left w:val="single" w:color="CBD5E0" w:sz="1"/>
              <w:bottom w:val="single" w:color="CBD5E0" w:sz="1"/>
              <w:right w:val="single" w:color="CBD5E0" w:sz="1"/>
            </w:tcBorders>
            <w:shd w:fill="FFFFFF" w:val="clear"/>
            <w:tcMar>
              <w:top w:type="dxa" w:w="80"/>
              <w:left w:type="dxa" w:w="140"/>
              <w:bottom w:type="dxa" w:w="80"/>
              <w:right w:type="dxa" w:w="80"/>
            </w:tcMar>
          </w:tcPr>
          <w:p>
            <w:r>
              <w:rPr>
                <w:rFonts w:ascii="Arial" w:cs="Arial" w:eastAsia="Arial" w:hAnsi="Arial"/>
                <w:color w:val="1A202C"/>
                <w:sz w:val="20"/>
                <w:szCs w:val="20"/>
              </w:rPr>
              <w:t xml:space="preserve">21.7%</w:t>
            </w:r>
          </w:p>
        </w:tc>
      </w:tr>
    </w:tbl>
    <w:p>
      <w:pPr>
        <w:spacing w:after="80"/>
      </w:pPr>
    </w:p>
    <w:p>
      <w:pPr>
        <w:spacing w:after="80"/>
      </w:pPr>
    </w:p>
    <w:p>
      <w:pPr>
        <w:spacing w:before="360"/>
        <w:jc w:val="center"/>
      </w:pPr>
      <w:r>
        <w:rPr>
          <w:rFonts w:ascii="Cambria" w:cs="Cambria" w:eastAsia="Cambria" w:hAnsi="Cambria"/>
          <w:color w:val="4A5568"/>
          <w:sz w:val="24"/>
          <w:szCs w:val="24"/>
        </w:rPr>
        <w:t xml:space="preserve">—  End of Report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2"/>
      </w:pBdr>
      <w:spacing w:before="80"/>
      <w:jc w:val="center"/>
    </w:pPr>
    <w:r>
      <w:rPr>
        <w:rFonts w:ascii="Arial" w:cs="Arial" w:eastAsia="Arial" w:hAnsi="Arial"/>
        <w:color w:val="4A5568"/>
        <w:sz w:val="18"/>
        <w:szCs w:val="18"/>
      </w:rPr>
      <w:t xml:space="preserve">Confidential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  Data Period: January – March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single" w:color="C8840A" w:sz="6"/>
            <w:right w:val="none" w:color="FFFFFF" w:sz="0"/>
          </w:tcBorders>
          <w:tcMar>
            <w:top w:type="dxa" w:w="0"/>
            <w:left w:type="dxa" w:w="0"/>
            <w:bottom w:type="dxa" w:w="60"/>
            <w:right w:type="dxa" w:w="0"/>
          </w:tcMar>
        </w:tcPr>
        <w:p>
          <w:r>
            <w:rPr>
              <w:rFonts w:ascii="Arial" w:cs="Arial" w:eastAsia="Arial" w:hAnsi="Arial"/>
              <w:b/>
              <w:bCs/>
              <w:color w:val="0D1B40"/>
              <w:sz w:val="18"/>
              <w:szCs w:val="18"/>
            </w:rPr>
            <w:t xml:space="preserve">MTN Nigeria Customer Churn Analysis Report</w:t>
          </w:r>
        </w:p>
      </w:tc>
      <w:tc>
        <w:tcPr>
          <w:tcW w:type="dxa" w:w="3600"/>
          <w:tcBorders>
            <w:top w:val="none" w:color="FFFFFF" w:sz="0"/>
            <w:left w:val="none" w:color="FFFFFF" w:sz="0"/>
            <w:bottom w:val="single" w:color="C8840A" w:sz="6"/>
            <w:right w:val="none" w:color="FFFFFF" w:sz="0"/>
          </w:tcBorders>
          <w:tcMar>
            <w:top w:type="dxa" w:w="0"/>
            <w:left w:type="dxa" w:w="0"/>
            <w:bottom w:type="dxa" w:w="60"/>
            <w:right w:type="dxa" w:w="0"/>
          </w:tcMar>
        </w:tcPr>
        <w:p>
          <w:pPr>
            <w:jc w:val="right"/>
          </w:pPr>
          <w:r>
            <w:rPr>
              <w:rFonts w:ascii="Arial" w:cs="Arial" w:eastAsia="Arial" w:hAnsi="Arial"/>
              <w:color w:val="4A5568"/>
              <w:sz w:val="18"/>
              <w:szCs w:val="18"/>
            </w:rPr>
            <w:t xml:space="preserve">EMS TECHSphere Analytics  |  Q1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40"/>
      <w:sz w:val="32"/>
      <w:szCs w:val="32"/>
    </w:rPr>
  </w:style>
  <w:style w:type="paragraph" w:styleId="Heading2">
    <w:name w:val="Heading 2"/>
    <w:basedOn w:val="Normal"/>
    <w:next w:val="Normal"/>
    <w:qFormat/>
    <w:pPr>
      <w:spacing w:after="80" w:before="240"/>
      <w:outlineLvl w:val="1"/>
    </w:pPr>
    <w:rPr>
      <w:rFonts w:ascii="Arial" w:cs="Arial" w:eastAsia="Arial" w:hAnsi="Arial"/>
      <w:b/>
      <w:bCs/>
      <w:color w:val="0D1B40"/>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2026-06-28T18:29:35.166Z</dcterms:created>
  <dcterms:modified xsi:type="dcterms:W3CDTF">2026-06-28T18:29:35.166Z</dcterms:modified>
</cp:coreProperties>
</file>

<file path=docProps/custom.xml><?xml version="1.0" encoding="utf-8"?>
<Properties xmlns="http://schemas.openxmlformats.org/officeDocument/2006/custom-properties" xmlns:vt="http://schemas.openxmlformats.org/officeDocument/2006/docPropsVTypes"/>
</file>