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sz w:val="2"/>
          <w:szCs w:val="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6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Deployment aplikacji - wait_for i handlers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syt00sbhfw1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_5syt00sbhfw1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5syt00sbhfw1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ciągu kolejnego cyklu ćwiczeń podejmiemy wyzwanie samodzielnej budowy platformy do hostingu aplikacji, z loadbalancerem oraz opcjonalnie bazą danych.</w:t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Ćwiczenie podzielone będzie na kilka etapów.</w:t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Kontynuując pracę z poprzedniego ćwiczenia, dodamy handler, aby restart aplikacji wykonywał się warunkowo, oraz dodamy sprawdzenie czy aplikacja nasłuchuje na właściwym porcie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serwerze mgmt3.muszynski.pro przejdź do katalogu ~/akademiaansible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~/akademiaansible/playbooks/naszaaplikacja/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Znajdziesz tu przygotowany plik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wgraj_aplikacje.yml </w:t>
      </w:r>
      <w:r w:rsidDel="00000000" w:rsidR="00000000" w:rsidRPr="00000000">
        <w:rPr>
          <w:rFonts w:ascii="Arial" w:cs="Arial" w:eastAsia="Arial" w:hAnsi="Arial"/>
          <w:rtl w:val="0"/>
        </w:rPr>
        <w:t xml:space="preserve">oraz przykładową konfigurację aplikacji i apache</w:t>
        <w:br w:type="textWrapping"/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Otwórz plik: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 wgraj_aplikacje.yml</w:t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Dodajmy handler </w:t>
        <w:br w:type="textWrapping"/>
        <w:t xml:space="preserve">Wyszukaj ‘ansible handlers’, natrafisz na dokumentację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https://docs.ansible.com/ansible/latest/user_guide/playbooks_intro.html#handlers-running-operations-on-change</w:t>
        </w:r>
      </w:hyperlink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Handler to specjalny rodzaj zadania, które wykona się jedynie wtedy, gdy inne powiązane zadanie zakończy pracę statusem ‘changed: true’ i powiadomi (wzbudzi / notify) dany handler.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zdefiniuj restart serwisu apache jako handler, uruchom playbook</w:t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Dodajmy drugi handler - wait_for, który wzbudzony będzie handlerem z punktu 3.</w:t>
        <w:br w:type="textWrapping"/>
        <w:t xml:space="preserve">Ten handler ma sprawdzić czy apache działa na porcie 80, oraz porcie naszego VirtualHost aplikacji (domyślnie 5081)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ponownie uruchom playbook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76" w:lineRule="auto"/>
        <w:ind w:left="144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Gotowe - weryfikacja</w:t>
      </w: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Poprawnie uruchomiony serwis będzie dostępny pod publicznym adresem IP naszego serwera, na wskazanym porcie.</w:t>
        <w:br w:type="textWrapping"/>
        <w:t xml:space="preserve">Przykładowe adresy: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http://3.10.56.182:5081/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http://3.10.56.182:5081/index</w:t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ściągawka czy ‘odpowiedź’ w repozytorium jest plik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 playbooks/naszaaplikacja/wgraj_aplikacje_odpowiedz_handlers.yml</w:t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Postaraj się jednak rozwiązać zadanie samodzielnie - celem ćwiczenia jest nauka procesu tworzenia.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hyperlink" Target="http://3.10.56.182:81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ansible.com/ansible/latest/user_guide/playbooks_intro.html#handlers-running-operations-on-chan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