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color w:val="888888"/>
          <w:spacing w:val="200"/>
          <w:sz w:val="22"/>
          <w:szCs w:val="22"/>
        </w:rPr>
        <w:t xml:space="preserve">INFOTACT SOLUTIONS</w:t>
      </w:r>
    </w:p>
    <w:p>
      <w:pPr>
        <w:spacing w:after="80"/>
        <w:jc w:val="center"/>
      </w:pPr>
      <w:r>
        <w:rPr>
          <w:rFonts w:ascii="Arial" w:cs="Arial" w:eastAsia="Arial" w:hAnsi="Arial"/>
          <w:color w:val="AAAAAA"/>
          <w:sz w:val="20"/>
          <w:szCs w:val="20"/>
        </w:rPr>
        <w:t xml:space="preserve">Data Intelligence Unit</w:t>
      </w:r>
    </w:p>
    <w:p>
      <w:pPr>
        <w:spacing w:after="300"/>
      </w:pPr>
    </w:p>
    <w:p>
      <w:pPr>
        <w:spacing w:after="120"/>
        <w:jc w:val="center"/>
      </w:pPr>
      <w:r>
        <w:rPr>
          <w:rFonts w:ascii="Arial" w:cs="Arial" w:eastAsia="Arial" w:hAnsi="Arial"/>
          <w:b/>
          <w:bCs/>
          <w:color w:val="1B3A5C"/>
          <w:sz w:val="52"/>
          <w:szCs w:val="52"/>
        </w:rPr>
        <w:t xml:space="preserve">Project 2: AlphaPulse</w:t>
      </w:r>
    </w:p>
    <w:p>
      <w:pPr>
        <w:spacing w:after="80"/>
        <w:jc w:val="center"/>
      </w:pPr>
      <w:r>
        <w:rPr>
          <w:rFonts w:ascii="Arial" w:cs="Arial" w:eastAsia="Arial" w:hAnsi="Arial"/>
          <w:color w:val="2E75B6"/>
          <w:sz w:val="26"/>
          <w:szCs w:val="26"/>
        </w:rPr>
        <w:t xml:space="preserve">Financial Analytics — Portfolio Risk &amp; Volatility Monitor</w:t>
      </w:r>
    </w:p>
    <w:p>
      <w:pPr>
        <w:spacing w:after="200"/>
      </w:pPr>
    </w:p>
    <w:p>
      <w:pPr>
        <w:pBdr>
          <w:top w:val="single" w:color="E8E8E8" w:sz="2" w:space="1"/>
        </w:pBdr>
        <w:spacing w:after="200" w:before="200"/>
        <w:jc w:val="center"/>
      </w:pPr>
    </w:p>
    <w:p>
      <w:pPr>
        <w:spacing w:after="60"/>
        <w:jc w:val="center"/>
      </w:pPr>
      <w:r>
        <w:rPr>
          <w:rFonts w:ascii="Arial" w:cs="Arial" w:eastAsia="Arial" w:hAnsi="Arial"/>
          <w:color w:val="666666"/>
          <w:sz w:val="24"/>
          <w:szCs w:val="24"/>
        </w:rPr>
        <w:t xml:space="preserve">4-Week Study Roadmap &amp; Implementation Guide</w:t>
      </w:r>
    </w:p>
    <w:p>
      <w:pPr>
        <w:spacing w:after="60"/>
        <w:jc w:val="center"/>
      </w:pPr>
      <w:r>
        <w:rPr>
          <w:rFonts w:ascii="Arial" w:cs="Arial" w:eastAsia="Arial" w:hAnsi="Arial"/>
          <w:i/>
          <w:iCs/>
          <w:color w:val="888888"/>
          <w:sz w:val="22"/>
          <w:szCs w:val="22"/>
        </w:rPr>
        <w:t xml:space="preserve">For Aspiring Data Scientists</w:t>
      </w:r>
    </w:p>
    <w:p>
      <w:pPr>
        <w:spacing w:after="600"/>
      </w:pPr>
    </w:p>
    <w:p>
      <w:pPr>
        <w:spacing w:after="60"/>
        <w:jc w:val="center"/>
      </w:pPr>
      <w:r>
        <w:rPr>
          <w:rFonts w:ascii="Arial" w:cs="Arial" w:eastAsia="Arial" w:hAnsi="Arial"/>
          <w:color w:val="AAAAAA"/>
          <w:sz w:val="20"/>
          <w:szCs w:val="20"/>
        </w:rPr>
        <w:t xml:space="preserve">Q4 2025 — Squadron Beta</w:t>
      </w:r>
    </w:p>
    <w:p>
      <w:pPr>
        <w:jc w:val="center"/>
      </w:pPr>
      <w:r>
        <w:rPr>
          <w:rFonts w:ascii="Arial" w:cs="Arial" w:eastAsia="Arial" w:hAnsi="Arial"/>
          <w:color w:val="BBBBBB"/>
          <w:sz w:val="18"/>
          <w:szCs w:val="18"/>
        </w:rPr>
        <w:t xml:space="preserve">Stack: Python (yfinance) → NumPy (Matrix Math) → Tableau (Visualization)</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Project Overview</w:t>
      </w:r>
    </w:p>
    <w:p>
      <w:pPr>
        <w:spacing w:after="120"/>
      </w:pPr>
      <w:r>
        <w:rPr>
          <w:rFonts w:ascii="Arial" w:cs="Arial" w:eastAsia="Arial" w:hAnsi="Arial"/>
          <w:b/>
          <w:bCs/>
          <w:sz w:val="22"/>
          <w:szCs w:val="22"/>
        </w:rPr>
        <w:t xml:space="preserve">Product Name: </w:t>
      </w:r>
      <w:r>
        <w:rPr>
          <w:rFonts w:ascii="Arial" w:cs="Arial" w:eastAsia="Arial" w:hAnsi="Arial"/>
          <w:sz w:val="22"/>
          <w:szCs w:val="22"/>
        </w:rPr>
        <w:t xml:space="preserve">AlphaPulse</w:t>
      </w:r>
    </w:p>
    <w:p>
      <w:pPr>
        <w:spacing w:after="120"/>
      </w:pPr>
      <w:r>
        <w:rPr>
          <w:rFonts w:ascii="Arial" w:cs="Arial" w:eastAsia="Arial" w:hAnsi="Arial"/>
          <w:b/>
          <w:bCs/>
          <w:sz w:val="22"/>
          <w:szCs w:val="22"/>
        </w:rPr>
        <w:t xml:space="preserve">Industry: </w:t>
      </w:r>
      <w:r>
        <w:rPr>
          <w:rFonts w:ascii="Arial" w:cs="Arial" w:eastAsia="Arial" w:hAnsi="Arial"/>
          <w:sz w:val="22"/>
          <w:szCs w:val="22"/>
        </w:rPr>
        <w:t xml:space="preserve">Financial Services / Asset Management</w:t>
      </w:r>
    </w:p>
    <w:p>
      <w:pPr>
        <w:spacing w:after="120"/>
      </w:pPr>
      <w:r>
        <w:rPr>
          <w:rFonts w:ascii="Arial" w:cs="Arial" w:eastAsia="Arial" w:hAnsi="Arial"/>
          <w:b/>
          <w:bCs/>
          <w:sz w:val="22"/>
          <w:szCs w:val="22"/>
        </w:rPr>
        <w:t xml:space="preserve">Timeline: </w:t>
      </w:r>
      <w:r>
        <w:rPr>
          <w:rFonts w:ascii="Arial" w:cs="Arial" w:eastAsia="Arial" w:hAnsi="Arial"/>
          <w:sz w:val="22"/>
          <w:szCs w:val="22"/>
        </w:rPr>
        <w:t xml:space="preserve">4 Weeks (Non-negotiable)</w:t>
      </w:r>
    </w:p>
    <w:p>
      <w:pPr>
        <w:spacing w:after="120"/>
      </w:pPr>
      <w:r>
        <w:rPr>
          <w:rFonts w:ascii="Arial" w:cs="Arial" w:eastAsia="Arial" w:hAnsi="Arial"/>
          <w:b/>
          <w:bCs/>
          <w:sz w:val="22"/>
          <w:szCs w:val="22"/>
        </w:rPr>
        <w:t xml:space="preserve">Tech Stack: </w:t>
      </w:r>
      <w:r>
        <w:rPr>
          <w:rFonts w:ascii="Arial" w:cs="Arial" w:eastAsia="Arial" w:hAnsi="Arial"/>
          <w:sz w:val="22"/>
          <w:szCs w:val="22"/>
        </w:rPr>
        <w:t xml:space="preserve">Python (yfinance API) → NumPy (Vectorized Math) → Tableau (Visualization)</w:t>
      </w:r>
    </w:p>
    <w:p>
      <w:pPr>
        <w:spacing w:after="100"/>
      </w:pPr>
    </w:p>
    <w:p>
      <w:pPr>
        <w:spacing w:after="160"/>
      </w:pPr>
      <w:r>
        <w:t xml:space="preserve">You are building a production-grade portfolio risk assessment tool for an asset management firm. The tool must calculate Value at Risk (VaR), simulate thousands of possible market futures using Monte Carlo methods, and visualize how assets in a portfolio move together. This is not a reporting exercise — it is a quantitative modelling project that requires you to think statistically at every step.</w:t>
      </w:r>
    </w:p>
    <w:p>
      <w:pPr>
        <w:spacing w:after="160"/>
      </w:pPr>
      <w:r>
        <w:t xml:space="preserve">This roadmap breaks down every task with the thinking behind it (what is your mental model?) and the why behind it (why does this specific approach matter in production?). Follow it sequentially. Each step builds on the previous one.</w:t>
      </w:r>
    </w:p>
    <w:p>
      <w:pPr>
        <w:pStyle w:val="Heading2"/>
      </w:pPr>
      <w:r>
        <w:t xml:space="preserve">Why This Project Matters for Your Career</w:t>
      </w:r>
    </w:p>
    <w:p>
      <w:pPr>
        <w:spacing w:after="160"/>
      </w:pPr>
      <w:r>
        <w:t xml:space="preserve">This is the most genuinely quantitative project in the Q4 cohort. RFM segmentation (Project 1) is business analytics. Cloud architecture (Project 3) is data engineering. PySpark (Project 4) is infrastructure. This project is data science in its purest form: you are building a mathematical model, simulating stochastic processes, and making probabilistic claims about the future. These are the exact skills that separate a data scientist from a data analyst in interviews.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F2F2F2" w:val="clear"/>
            <w:tcMar>
              <w:top w:type="dxa" w:w="120"/>
              <w:left w:type="dxa" w:w="200"/>
              <w:bottom w:type="dxa" w:w="120"/>
              <w:right w:type="dxa" w:w="120"/>
            </w:tcMar>
          </w:tcPr>
          <w:p>
            <w:pPr>
              <w:spacing w:after="40"/>
            </w:pPr>
            <w:r>
              <w:rPr>
                <w:rFonts w:ascii="Arial" w:cs="Arial" w:eastAsia="Arial" w:hAnsi="Arial"/>
                <w:b/>
                <w:bCs/>
                <w:color w:val="2E75B6"/>
                <w:sz w:val="28"/>
                <w:szCs w:val="28"/>
              </w:rPr>
              <w:t xml:space="preserve">WEEK 1</w:t>
            </w:r>
          </w:p>
          <w:p>
            <w:r>
              <w:rPr>
                <w:rFonts w:ascii="Arial" w:cs="Arial" w:eastAsia="Arial" w:hAnsi="Arial"/>
                <w:color w:val="444444"/>
                <w:sz w:val="22"/>
                <w:szCs w:val="22"/>
              </w:rPr>
              <w:t xml:space="preserve">Data Acquisition &amp; Cleaning — Building Your Foundation</w:t>
            </w:r>
          </w:p>
        </w:tc>
      </w:tr>
    </w:tbl>
    <w:p>
      <w:pPr>
        <w:spacing w:after="150"/>
      </w:pPr>
    </w:p>
    <w:p>
      <w:pPr>
        <w:pStyle w:val="Heading1"/>
      </w:pPr>
      <w:r>
        <w:t xml:space="preserve">Week 1: Data Acquisition &amp; Cleaning</w:t>
      </w:r>
    </w:p>
    <w:p>
      <w:pPr>
        <w:spacing w:after="160"/>
      </w:pPr>
      <w:r>
        <w:t xml:space="preserve">The goal this week is straightforward but critical: assemble a clean, reliable dataset of historical stock prices for a diversified portfolio. Every calculation in Weeks 2–4 depends on the integrity of this data. One corrupted price point will cascade through your covariance matrix, distort your Monte Carlo simulation, and produce a meaningless VaR number.</w:t>
      </w:r>
    </w:p>
    <w:p>
      <w:pPr>
        <w:pStyle w:val="Heading2"/>
      </w:pPr>
      <w:r>
        <w:t xml:space="preserve">Step 1: Select Your Portfolio Strategically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80"/>
            </w:pPr>
            <w:r>
              <w:rPr>
                <w:rFonts w:ascii="Arial" w:cs="Arial" w:eastAsia="Arial" w:hAnsi="Arial"/>
                <w:b/>
                <w:bCs/>
                <w:color w:val="2E75B6"/>
                <w:sz w:val="22"/>
                <w:szCs w:val="22"/>
              </w:rPr>
              <w:t xml:space="preserve">●  Portfolio Construction</w:t>
            </w:r>
          </w:p>
          <w:p>
            <w:pPr>
              <w:spacing w:after="60"/>
            </w:pPr>
            <w:r>
              <w:rPr>
                <w:rFonts w:ascii="Arial" w:cs="Arial" w:eastAsia="Arial" w:hAnsi="Arial"/>
                <w:b/>
                <w:bCs/>
                <w:color w:val="555555"/>
                <w:sz w:val="20"/>
                <w:szCs w:val="20"/>
              </w:rPr>
              <w:t xml:space="preserve">Thinking: </w:t>
            </w:r>
            <w:r>
              <w:rPr>
                <w:rFonts w:ascii="Arial" w:cs="Arial" w:eastAsia="Arial" w:hAnsi="Arial"/>
                <w:color w:val="555555"/>
                <w:sz w:val="20"/>
                <w:szCs w:val="20"/>
              </w:rPr>
              <w:t xml:space="preserve">You need assets that behave differently from each other. If you pick 5 tech stocks, they will all move together, your correlation heatmap will be a boring sea of red, and your simulation will not reveal anything useful about diversification.</w:t>
            </w:r>
          </w:p>
          <w:p>
            <w:r>
              <w:rPr>
                <w:rFonts w:ascii="Arial" w:cs="Arial" w:eastAsia="Arial" w:hAnsi="Arial"/>
                <w:b/>
                <w:bCs/>
                <w:color w:val="E07050"/>
                <w:sz w:val="20"/>
                <w:szCs w:val="20"/>
              </w:rPr>
              <w:t xml:space="preserve">Why it matters: </w:t>
            </w:r>
            <w:r>
              <w:rPr>
                <w:rFonts w:ascii="Arial" w:cs="Arial" w:eastAsia="Arial" w:hAnsi="Arial"/>
                <w:color w:val="555555"/>
                <w:sz w:val="20"/>
                <w:szCs w:val="20"/>
              </w:rPr>
              <w:t xml:space="preserve">In production, portfolio managers construct diversified portfolios precisely because uncorrelated assets reduce overall risk. Your project must demonstrate this principle, not just calculate numbers.</w:t>
            </w:r>
          </w:p>
        </w:tc>
      </w:tr>
    </w:tbl>
    <w:p>
      <w:pPr>
        <w:spacing w:after="100"/>
      </w:pPr>
    </w:p>
    <w:p>
      <w:pPr>
        <w:spacing w:after="160"/>
      </w:pPr>
      <w:r>
        <w:t xml:space="preserve">Recommended portfolio (5 tickers across 5 sectors):</w:t>
      </w:r>
    </w:p>
    <w:p>
      <w:pPr>
        <w:pStyle w:val="ListParagraph"/>
        <w:numPr>
          <w:ilvl w:val="0"/>
          <w:numId w:val="2"/>
        </w:numPr>
        <w:spacing w:after="60"/>
      </w:pPr>
      <w:r>
        <w:rPr>
          <w:rFonts w:ascii="Arial" w:cs="Arial" w:eastAsia="Arial" w:hAnsi="Arial"/>
          <w:sz w:val="22"/>
          <w:szCs w:val="22"/>
        </w:rPr>
        <w:t xml:space="preserve">AAPL (Technology) — high growth, volatile, rate-sensitive</w:t>
      </w:r>
    </w:p>
    <w:p>
      <w:pPr>
        <w:pStyle w:val="ListParagraph"/>
        <w:numPr>
          <w:ilvl w:val="0"/>
          <w:numId w:val="2"/>
        </w:numPr>
        <w:spacing w:after="60"/>
      </w:pPr>
      <w:r>
        <w:rPr>
          <w:rFonts w:ascii="Arial" w:cs="Arial" w:eastAsia="Arial" w:hAnsi="Arial"/>
          <w:sz w:val="22"/>
          <w:szCs w:val="22"/>
        </w:rPr>
        <w:t xml:space="preserve">JNJ (Healthcare) — defensive, stable dividends, low beta</w:t>
      </w:r>
    </w:p>
    <w:p>
      <w:pPr>
        <w:pStyle w:val="ListParagraph"/>
        <w:numPr>
          <w:ilvl w:val="0"/>
          <w:numId w:val="2"/>
        </w:numPr>
        <w:spacing w:after="60"/>
      </w:pPr>
      <w:r>
        <w:rPr>
          <w:rFonts w:ascii="Arial" w:cs="Arial" w:eastAsia="Arial" w:hAnsi="Arial"/>
          <w:sz w:val="22"/>
          <w:szCs w:val="22"/>
        </w:rPr>
        <w:t xml:space="preserve">XOM (Energy) — commodity-driven, inversely correlated with tech during certain regimes</w:t>
      </w:r>
    </w:p>
    <w:p>
      <w:pPr>
        <w:pStyle w:val="ListParagraph"/>
        <w:numPr>
          <w:ilvl w:val="0"/>
          <w:numId w:val="2"/>
        </w:numPr>
        <w:spacing w:after="60"/>
      </w:pPr>
      <w:r>
        <w:rPr>
          <w:rFonts w:ascii="Arial" w:cs="Arial" w:eastAsia="Arial" w:hAnsi="Arial"/>
          <w:sz w:val="22"/>
          <w:szCs w:val="22"/>
        </w:rPr>
        <w:t xml:space="preserve">JPM (Finance) — interest-rate sensitive, benefits when rates rise</w:t>
      </w:r>
    </w:p>
    <w:p>
      <w:pPr>
        <w:pStyle w:val="ListParagraph"/>
        <w:numPr>
          <w:ilvl w:val="0"/>
          <w:numId w:val="2"/>
        </w:numPr>
        <w:spacing w:after="120"/>
      </w:pPr>
      <w:r>
        <w:rPr>
          <w:rFonts w:ascii="Arial" w:cs="Arial" w:eastAsia="Arial" w:hAnsi="Arial"/>
          <w:sz w:val="22"/>
          <w:szCs w:val="22"/>
        </w:rPr>
        <w:t xml:space="preserve">BTC-USD (Crypto) — high volatility, low traditional correlation, tests model robustness</w:t>
      </w:r>
    </w:p>
    <w:p>
      <w:pPr>
        <w:spacing w:after="100"/>
      </w:pPr>
    </w:p>
    <w:p>
      <w:pPr>
        <w:pStyle w:val="Heading2"/>
      </w:pPr>
      <w:r>
        <w:t xml:space="preserve">Step 2: Fetch Historical Data Using yfinance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80"/>
            </w:pPr>
            <w:r>
              <w:rPr>
                <w:rFonts w:ascii="Arial" w:cs="Arial" w:eastAsia="Arial" w:hAnsi="Arial"/>
                <w:b/>
                <w:bCs/>
                <w:color w:val="2E75B6"/>
                <w:sz w:val="22"/>
                <w:szCs w:val="22"/>
              </w:rPr>
              <w:t xml:space="preserve">●  Why yfinance?</w:t>
            </w:r>
          </w:p>
          <w:p>
            <w:pPr>
              <w:spacing w:after="60"/>
            </w:pPr>
            <w:r>
              <w:rPr>
                <w:rFonts w:ascii="Arial" w:cs="Arial" w:eastAsia="Arial" w:hAnsi="Arial"/>
                <w:b/>
                <w:bCs/>
                <w:color w:val="555555"/>
                <w:sz w:val="20"/>
                <w:szCs w:val="20"/>
              </w:rPr>
              <w:t xml:space="preserve">Thinking: </w:t>
            </w:r>
            <w:r>
              <w:rPr>
                <w:rFonts w:ascii="Arial" w:cs="Arial" w:eastAsia="Arial" w:hAnsi="Arial"/>
                <w:color w:val="555555"/>
                <w:sz w:val="20"/>
                <w:szCs w:val="20"/>
              </w:rPr>
              <w:t xml:space="preserve">yfinance pulls adjusted close prices by default. Adjusted prices account for stock splits and dividend distributions automatically.</w:t>
            </w:r>
          </w:p>
          <w:p>
            <w:r>
              <w:rPr>
                <w:rFonts w:ascii="Arial" w:cs="Arial" w:eastAsia="Arial" w:hAnsi="Arial"/>
                <w:b/>
                <w:bCs/>
                <w:color w:val="E07050"/>
                <w:sz w:val="20"/>
                <w:szCs w:val="20"/>
              </w:rPr>
              <w:t xml:space="preserve">Why it matters: </w:t>
            </w:r>
            <w:r>
              <w:rPr>
                <w:rFonts w:ascii="Arial" w:cs="Arial" w:eastAsia="Arial" w:hAnsi="Arial"/>
                <w:color w:val="555555"/>
                <w:sz w:val="20"/>
                <w:szCs w:val="20"/>
              </w:rPr>
              <w:t xml:space="preserve">If Apple did a 4:1 stock split, raw prices show a sudden 75% drop that is not a real loss. Using unadjusted prices would make your volatility calculations wildly wrong. In production, every quantitative model uses adjusted prices.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sz w:val="18"/>
                <w:szCs w:val="18"/>
              </w:rPr>
              <w:t xml:space="preserve">import yfinance as yf</w:t>
            </w:r>
          </w:p>
          <w:p>
            <w:pPr>
              <w:spacing w:after="20"/>
            </w:pPr>
            <w:r>
              <w:rPr>
                <w:rFonts w:ascii="Courier New" w:cs="Courier New" w:eastAsia="Courier New" w:hAnsi="Courier New"/>
                <w:sz w:val="18"/>
                <w:szCs w:val="18"/>
              </w:rPr>
              <w:t xml:space="preserve">import pandas as pd</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tickers = ['AAPL', 'JNJ', 'XOM', 'JPM', 'BTC-USD']</w:t>
            </w:r>
          </w:p>
          <w:p>
            <w:pPr>
              <w:spacing w:after="20"/>
            </w:pPr>
            <w:r>
              <w:rPr>
                <w:rFonts w:ascii="Courier New" w:cs="Courier New" w:eastAsia="Courier New" w:hAnsi="Courier New"/>
                <w:sz w:val="18"/>
                <w:szCs w:val="18"/>
              </w:rPr>
              <w:t xml:space="preserve">data = yf.download(tickers, start='2020-01-01', end='2025-01-01')</w:t>
            </w:r>
          </w:p>
          <w:p>
            <w:pPr>
              <w:spacing w:after="20"/>
            </w:pPr>
            <w:r>
              <w:rPr>
                <w:rFonts w:ascii="Courier New" w:cs="Courier New" w:eastAsia="Courier New" w:hAnsi="Courier New"/>
                <w:sz w:val="18"/>
                <w:szCs w:val="18"/>
              </w:rPr>
              <w:t xml:space="preserve">prices = data['Adj Close']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print(prices.shape)    # Expect ~1260 rows x 5 columns</w:t>
            </w:r>
          </w:p>
          <w:p>
            <w:pPr>
              <w:spacing w:after="20"/>
            </w:pPr>
            <w:r>
              <w:rPr>
                <w:rFonts w:ascii="Courier New" w:cs="Courier New" w:eastAsia="Courier New" w:hAnsi="Courier New"/>
                <w:sz w:val="18"/>
                <w:szCs w:val="18"/>
              </w:rPr>
              <w:t xml:space="preserve">print(prices.head())</w:t>
            </w:r>
          </w:p>
          <w:p>
            <w:pPr>
              <w:spacing w:after="20"/>
            </w:pPr>
            <w:r>
              <w:rPr>
                <w:rFonts w:ascii="Courier New" w:cs="Courier New" w:eastAsia="Courier New" w:hAnsi="Courier New"/>
                <w:sz w:val="18"/>
                <w:szCs w:val="18"/>
              </w:rPr>
              <w:t xml:space="preserve">print(prices.isnull().sum())  # Check missing values per ticker</w:t>
            </w:r>
          </w:p>
        </w:tc>
      </w:tr>
    </w:tbl>
    <w:p>
      <w:pPr>
        <w:spacing w:after="100"/>
      </w:pPr>
    </w:p>
    <w:p>
      <w:pPr>
        <w:pStyle w:val="Heading2"/>
      </w:pPr>
      <w:r>
        <w:t xml:space="preserve">Step 3: Clean Missing Data with Forward Fill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80"/>
            </w:pPr>
            <w:r>
              <w:rPr>
                <w:rFonts w:ascii="Arial" w:cs="Arial" w:eastAsia="Arial" w:hAnsi="Arial"/>
                <w:b/>
                <w:bCs/>
                <w:color w:val="2E75B6"/>
                <w:sz w:val="22"/>
                <w:szCs w:val="22"/>
              </w:rPr>
              <w:t xml:space="preserve">●  Forward Fill Strategy</w:t>
            </w:r>
          </w:p>
          <w:p>
            <w:pPr>
              <w:spacing w:after="60"/>
            </w:pPr>
            <w:r>
              <w:rPr>
                <w:rFonts w:ascii="Arial" w:cs="Arial" w:eastAsia="Arial" w:hAnsi="Arial"/>
                <w:b/>
                <w:bCs/>
                <w:color w:val="555555"/>
                <w:sz w:val="20"/>
                <w:szCs w:val="20"/>
              </w:rPr>
              <w:t xml:space="preserve">Thinking: </w:t>
            </w:r>
            <w:r>
              <w:rPr>
                <w:rFonts w:ascii="Arial" w:cs="Arial" w:eastAsia="Arial" w:hAnsi="Arial"/>
                <w:color w:val="555555"/>
                <w:sz w:val="20"/>
                <w:szCs w:val="20"/>
              </w:rPr>
              <w:t xml:space="preserve">Financial markets have non-trading days (weekends, holidays). Crypto trades 24/7 but stocks do not. This creates NaN values on days when one asset trades but another does not.</w:t>
            </w:r>
          </w:p>
          <w:p>
            <w:r>
              <w:rPr>
                <w:rFonts w:ascii="Arial" w:cs="Arial" w:eastAsia="Arial" w:hAnsi="Arial"/>
                <w:b/>
                <w:bCs/>
                <w:color w:val="E07050"/>
                <w:sz w:val="20"/>
                <w:szCs w:val="20"/>
              </w:rPr>
              <w:t xml:space="preserve">Why it matters: </w:t>
            </w:r>
            <w:r>
              <w:rPr>
                <w:rFonts w:ascii="Arial" w:cs="Arial" w:eastAsia="Arial" w:hAnsi="Arial"/>
                <w:color w:val="555555"/>
                <w:sz w:val="20"/>
                <w:szCs w:val="20"/>
              </w:rPr>
              <w:t xml:space="preserve">Forward fill carries the last known price into the gap. This is the correct strategy because the last known price is the best estimate of value when the market is closed. Never use mean imputation for financial data — a stock’s 5-year average has nothing to do with its price on a specific missing day.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sz w:val="18"/>
                <w:szCs w:val="18"/>
              </w:rPr>
              <w:t xml:space="preserve"># Forward fill missing values</w:t>
            </w:r>
          </w:p>
          <w:p>
            <w:pPr>
              <w:spacing w:after="20"/>
            </w:pPr>
            <w:r>
              <w:rPr>
                <w:rFonts w:ascii="Courier New" w:cs="Courier New" w:eastAsia="Courier New" w:hAnsi="Courier New"/>
                <w:sz w:val="18"/>
                <w:szCs w:val="18"/>
              </w:rPr>
              <w:t xml:space="preserve">prices.fillna(method='ffill', inplace=True)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Drop any remaining NaNs at the very start (before first trade)</w:t>
            </w:r>
          </w:p>
          <w:p>
            <w:pPr>
              <w:spacing w:after="20"/>
            </w:pPr>
            <w:r>
              <w:rPr>
                <w:rFonts w:ascii="Courier New" w:cs="Courier New" w:eastAsia="Courier New" w:hAnsi="Courier New"/>
                <w:sz w:val="18"/>
                <w:szCs w:val="18"/>
              </w:rPr>
              <w:t xml:space="preserve">prices.dropna(inplace=True)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Verify: should be zero</w:t>
            </w:r>
          </w:p>
          <w:p>
            <w:pPr>
              <w:spacing w:after="20"/>
            </w:pPr>
            <w:r>
              <w:rPr>
                <w:rFonts w:ascii="Courier New" w:cs="Courier New" w:eastAsia="Courier New" w:hAnsi="Courier New"/>
                <w:sz w:val="18"/>
                <w:szCs w:val="18"/>
              </w:rPr>
              <w:t xml:space="preserve">print("Remaining NaNs:", prices.isnull().sum().sum())</w:t>
            </w:r>
          </w:p>
        </w:tc>
      </w:tr>
    </w:tbl>
    <w:p>
      <w:pPr>
        <w:spacing w:after="100"/>
      </w:pPr>
    </w:p>
    <w:p>
      <w:pPr>
        <w:pStyle w:val="Heading2"/>
      </w:pPr>
      <w:r>
        <w:t xml:space="preserve">Step 4: Validate for Corporate Actions &amp; Anomalies</w:t>
      </w:r>
    </w:p>
    <w:p>
      <w:pPr>
        <w:spacing w:after="160"/>
      </w:pPr>
      <w:r>
        <w:t xml:space="preserve">Plot each ticker’s price history and visually inspect for sudden 50%+ jumps or drops. These could indicate unhandled stock splits or data corruption. A quick matplotlib chart is your fastest quality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sz w:val="18"/>
                <w:szCs w:val="18"/>
              </w:rPr>
              <w:t xml:space="preserve">import matplotlib.pyplot as plt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fig, axes = plt.subplots(len(tickers), 1, figsize=(12, 3*len(tickers)))</w:t>
            </w:r>
          </w:p>
          <w:p>
            <w:pPr>
              <w:spacing w:after="20"/>
            </w:pPr>
            <w:r>
              <w:rPr>
                <w:rFonts w:ascii="Courier New" w:cs="Courier New" w:eastAsia="Courier New" w:hAnsi="Courier New"/>
                <w:sz w:val="18"/>
                <w:szCs w:val="18"/>
              </w:rPr>
              <w:t xml:space="preserve">for i, ticker in enumerate(tickers):</w:t>
            </w:r>
          </w:p>
          <w:p>
            <w:pPr>
              <w:spacing w:after="20"/>
            </w:pPr>
            <w:r>
              <w:rPr>
                <w:rFonts w:ascii="Courier New" w:cs="Courier New" w:eastAsia="Courier New" w:hAnsi="Courier New"/>
                <w:sz w:val="18"/>
                <w:szCs w:val="18"/>
              </w:rPr>
              <w:t xml:space="preserve">    axes[i].plot(prices[ticker])</w:t>
            </w:r>
          </w:p>
          <w:p>
            <w:pPr>
              <w:spacing w:after="20"/>
            </w:pPr>
            <w:r>
              <w:rPr>
                <w:rFonts w:ascii="Courier New" w:cs="Courier New" w:eastAsia="Courier New" w:hAnsi="Courier New"/>
                <w:sz w:val="18"/>
                <w:szCs w:val="18"/>
              </w:rPr>
              <w:t xml:space="preserve">    axes[i].set_title(ticker)</w:t>
            </w:r>
          </w:p>
          <w:p>
            <w:pPr>
              <w:spacing w:after="20"/>
            </w:pPr>
            <w:r>
              <w:rPr>
                <w:rFonts w:ascii="Courier New" w:cs="Courier New" w:eastAsia="Courier New" w:hAnsi="Courier New"/>
                <w:sz w:val="18"/>
                <w:szCs w:val="18"/>
              </w:rPr>
              <w:t xml:space="preserve">    axes[i].set_ylabel('Adj Close')</w:t>
            </w:r>
          </w:p>
          <w:p>
            <w:pPr>
              <w:spacing w:after="20"/>
            </w:pPr>
            <w:r>
              <w:rPr>
                <w:rFonts w:ascii="Courier New" w:cs="Courier New" w:eastAsia="Courier New" w:hAnsi="Courier New"/>
                <w:sz w:val="18"/>
                <w:szCs w:val="18"/>
              </w:rPr>
              <w:t xml:space="preserve">plt.tight_layout()</w:t>
            </w:r>
          </w:p>
          <w:p>
            <w:pPr>
              <w:spacing w:after="20"/>
            </w:pPr>
            <w:r>
              <w:rPr>
                <w:rFonts w:ascii="Courier New" w:cs="Courier New" w:eastAsia="Courier New" w:hAnsi="Courier New"/>
                <w:sz w:val="18"/>
                <w:szCs w:val="18"/>
              </w:rPr>
              <w:t xml:space="preserve">plt.savefig('price_validation.png', dpi=150)</w:t>
            </w:r>
          </w:p>
          <w:p>
            <w:pPr>
              <w:spacing w:after="20"/>
            </w:pPr>
            <w:r>
              <w:rPr>
                <w:rFonts w:ascii="Courier New" w:cs="Courier New" w:eastAsia="Courier New" w:hAnsi="Courier New"/>
                <w:sz w:val="18"/>
                <w:szCs w:val="18"/>
              </w:rPr>
              <w:t xml:space="preserve">plt.show()</w:t>
            </w:r>
          </w:p>
        </w:tc>
      </w:tr>
    </w:tbl>
    <w:p>
      <w:pPr>
        <w:spacing w:after="100"/>
      </w:pPr>
    </w:p>
    <w:p>
      <w:pPr>
        <w:pStyle w:val="Heading3"/>
      </w:pPr>
      <w:r>
        <w:t xml:space="preserve">Week 1 Checklist</w:t>
      </w:r>
    </w:p>
    <w:p>
      <w:pPr>
        <w:spacing w:after="100"/>
        <w:ind w:left="360"/>
      </w:pPr>
      <w:r>
        <w:rPr>
          <w:rFonts w:ascii="Segoe UI Symbol" w:cs="Segoe UI Symbol" w:eastAsia="Segoe UI Symbol" w:hAnsi="Segoe UI Symbol"/>
          <w:sz w:val="24"/>
          <w:szCs w:val="24"/>
        </w:rPr>
        <w:t xml:space="preserve">☐  </w:t>
      </w:r>
      <w:r>
        <w:rPr>
          <w:rFonts w:ascii="Arial" w:cs="Arial" w:eastAsia="Arial" w:hAnsi="Arial"/>
          <w:sz w:val="22"/>
          <w:szCs w:val="22"/>
        </w:rPr>
        <w:t xml:space="preserve">Portfolio of 5 diversified tickers selected and justified</w:t>
      </w:r>
    </w:p>
    <w:p>
      <w:pPr>
        <w:spacing w:after="100"/>
        <w:ind w:left="360"/>
      </w:pPr>
      <w:r>
        <w:rPr>
          <w:rFonts w:ascii="Segoe UI Symbol" w:cs="Segoe UI Symbol" w:eastAsia="Segoe UI Symbol" w:hAnsi="Segoe UI Symbol"/>
          <w:sz w:val="24"/>
          <w:szCs w:val="24"/>
        </w:rPr>
        <w:t xml:space="preserve">☐  </w:t>
      </w:r>
      <w:r>
        <w:rPr>
          <w:rFonts w:ascii="Arial" w:cs="Arial" w:eastAsia="Arial" w:hAnsi="Arial"/>
          <w:sz w:val="22"/>
          <w:szCs w:val="22"/>
        </w:rPr>
        <w:t xml:space="preserve">Historical data fetched (2020–2025, ~1260 trading days)</w:t>
      </w:r>
    </w:p>
    <w:p>
      <w:pPr>
        <w:spacing w:after="100"/>
        <w:ind w:left="360"/>
      </w:pPr>
      <w:r>
        <w:rPr>
          <w:rFonts w:ascii="Segoe UI Symbol" w:cs="Segoe UI Symbol" w:eastAsia="Segoe UI Symbol" w:hAnsi="Segoe UI Symbol"/>
          <w:sz w:val="24"/>
          <w:szCs w:val="24"/>
        </w:rPr>
        <w:t xml:space="preserve">☐  </w:t>
      </w:r>
      <w:r>
        <w:rPr>
          <w:rFonts w:ascii="Arial" w:cs="Arial" w:eastAsia="Arial" w:hAnsi="Arial"/>
          <w:sz w:val="22"/>
          <w:szCs w:val="22"/>
        </w:rPr>
        <w:t xml:space="preserve">Missing values handled with forward fill</w:t>
      </w:r>
    </w:p>
    <w:p>
      <w:pPr>
        <w:spacing w:after="100"/>
        <w:ind w:left="360"/>
      </w:pPr>
      <w:r>
        <w:rPr>
          <w:rFonts w:ascii="Segoe UI Symbol" w:cs="Segoe UI Symbol" w:eastAsia="Segoe UI Symbol" w:hAnsi="Segoe UI Symbol"/>
          <w:sz w:val="24"/>
          <w:szCs w:val="24"/>
        </w:rPr>
        <w:t xml:space="preserve">☐  </w:t>
      </w:r>
      <w:r>
        <w:rPr>
          <w:rFonts w:ascii="Arial" w:cs="Arial" w:eastAsia="Arial" w:hAnsi="Arial"/>
          <w:sz w:val="22"/>
          <w:szCs w:val="22"/>
        </w:rPr>
        <w:t xml:space="preserve">Visual validation complete — no anomalous spikes or drops</w:t>
      </w:r>
    </w:p>
    <w:p>
      <w:pPr>
        <w:spacing w:after="100"/>
        <w:ind w:left="360"/>
      </w:pPr>
      <w:r>
        <w:rPr>
          <w:rFonts w:ascii="Segoe UI Symbol" w:cs="Segoe UI Symbol" w:eastAsia="Segoe UI Symbol" w:hAnsi="Segoe UI Symbol"/>
          <w:sz w:val="24"/>
          <w:szCs w:val="24"/>
        </w:rPr>
        <w:t xml:space="preserve">☐  </w:t>
      </w:r>
      <w:r>
        <w:rPr>
          <w:rFonts w:ascii="Arial" w:cs="Arial" w:eastAsia="Arial" w:hAnsi="Arial"/>
          <w:sz w:val="22"/>
          <w:szCs w:val="22"/>
        </w:rPr>
        <w:t xml:space="preserve">Clean DataFrame saved as CSV for downstream use</w:t>
      </w:r>
    </w:p>
    <w:p>
      <w:pPr>
        <w:spacing w:after="100"/>
        <w:ind w:left="360"/>
      </w:pPr>
      <w:r>
        <w:rPr>
          <w:rFonts w:ascii="Segoe UI Symbol" w:cs="Segoe UI Symbol" w:eastAsia="Segoe UI Symbol" w:hAnsi="Segoe UI Symbol"/>
          <w:sz w:val="24"/>
          <w:szCs w:val="24"/>
        </w:rPr>
        <w:t xml:space="preserve">☐  </w:t>
      </w:r>
      <w:r>
        <w:rPr>
          <w:rFonts w:ascii="Arial" w:cs="Arial" w:eastAsia="Arial" w:hAnsi="Arial"/>
          <w:sz w:val="22"/>
          <w:szCs w:val="22"/>
        </w:rPr>
        <w:t xml:space="preserve">Data integrity documented (row count, date range, null check)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7B5EA7" w:sz="12"/>
              <w:bottom w:val="none" w:sz="0"/>
              <w:right w:val="none" w:sz="0"/>
            </w:tcBorders>
            <w:shd w:fill="F2F2F2" w:val="clear"/>
            <w:tcMar>
              <w:top w:type="dxa" w:w="120"/>
              <w:left w:type="dxa" w:w="200"/>
              <w:bottom w:type="dxa" w:w="120"/>
              <w:right w:type="dxa" w:w="120"/>
            </w:tcMar>
          </w:tcPr>
          <w:p>
            <w:pPr>
              <w:spacing w:after="40"/>
            </w:pPr>
            <w:r>
              <w:rPr>
                <w:rFonts w:ascii="Arial" w:cs="Arial" w:eastAsia="Arial" w:hAnsi="Arial"/>
                <w:b/>
                <w:bCs/>
                <w:color w:val="7B5EA7"/>
                <w:sz w:val="28"/>
                <w:szCs w:val="28"/>
              </w:rPr>
              <w:t xml:space="preserve">WEEK 2</w:t>
            </w:r>
          </w:p>
          <w:p>
            <w:r>
              <w:rPr>
                <w:rFonts w:ascii="Arial" w:cs="Arial" w:eastAsia="Arial" w:hAnsi="Arial"/>
                <w:color w:val="444444"/>
                <w:sz w:val="22"/>
                <w:szCs w:val="22"/>
              </w:rPr>
              <w:t xml:space="preserve">Quantitative Analysis — The Mathematical Core</w:t>
            </w:r>
          </w:p>
        </w:tc>
      </w:tr>
    </w:tbl>
    <w:p>
      <w:pPr>
        <w:spacing w:after="150"/>
      </w:pPr>
    </w:p>
    <w:p>
      <w:pPr>
        <w:pStyle w:val="Heading1"/>
      </w:pPr>
      <w:r>
        <w:t xml:space="preserve">Week 2: Quantitative Analysis</w:t>
      </w:r>
    </w:p>
    <w:p>
      <w:pPr>
        <w:spacing w:after="160"/>
      </w:pPr>
      <w:r>
        <w:t xml:space="preserve">This is the hardest and most important week. You will calculate log returns, build the covariance matrix, run Monte Carlo simulations, and compute Value at Risk. Every step requires you to understand the mathematics, not just copy code.</w:t>
      </w:r>
    </w:p>
    <w:p>
      <w:pPr>
        <w:pStyle w:val="Heading2"/>
      </w:pPr>
      <w:r>
        <w:t xml:space="preserve">Step 5: Calculate Daily Log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80"/>
            </w:pPr>
            <w:r>
              <w:rPr>
                <w:rFonts w:ascii="Arial" w:cs="Arial" w:eastAsia="Arial" w:hAnsi="Arial"/>
                <w:b/>
                <w:bCs/>
                <w:color w:val="7B5EA7"/>
                <w:sz w:val="22"/>
                <w:szCs w:val="22"/>
              </w:rPr>
              <w:t xml:space="preserve">●  Why Log Returns, Not Simple Returns?</w:t>
            </w:r>
          </w:p>
          <w:p>
            <w:pPr>
              <w:spacing w:after="60"/>
            </w:pPr>
            <w:r>
              <w:rPr>
                <w:rFonts w:ascii="Arial" w:cs="Arial" w:eastAsia="Arial" w:hAnsi="Arial"/>
                <w:b/>
                <w:bCs/>
                <w:color w:val="555555"/>
                <w:sz w:val="20"/>
                <w:szCs w:val="20"/>
              </w:rPr>
              <w:t xml:space="preserve">Thinking: </w:t>
            </w:r>
            <w:r>
              <w:rPr>
                <w:rFonts w:ascii="Arial" w:cs="Arial" w:eastAsia="Arial" w:hAnsi="Arial"/>
                <w:color w:val="555555"/>
                <w:sz w:val="20"/>
                <w:szCs w:val="20"/>
              </w:rPr>
              <w:t xml:space="preserve">Simple returns are calculated as (Pt - Pt-1) / Pt-1. Log returns are ln(Pt / Pt-1). They look similar but behave very differently mathematically.</w:t>
            </w:r>
          </w:p>
          <w:p>
            <w:r>
              <w:rPr>
                <w:rFonts w:ascii="Arial" w:cs="Arial" w:eastAsia="Arial" w:hAnsi="Arial"/>
                <w:b/>
                <w:bCs/>
                <w:color w:val="E07050"/>
                <w:sz w:val="20"/>
                <w:szCs w:val="20"/>
              </w:rPr>
              <w:t xml:space="preserve">Why it matters: </w:t>
            </w:r>
            <w:r>
              <w:rPr>
                <w:rFonts w:ascii="Arial" w:cs="Arial" w:eastAsia="Arial" w:hAnsi="Arial"/>
                <w:color w:val="555555"/>
                <w:sz w:val="20"/>
                <w:szCs w:val="20"/>
              </w:rPr>
              <w:t xml:space="preserve">Three critical reasons: (1) Log returns are additive over time — weekly return = sum of daily log returns, making aggregation trivial. (2) Log returns are approximately normally distributed, which matters because Monte Carlo assumes normality. (3) Log returns are symmetric — a +10% log return followed by -10% brings you back to exactly zero, while simple returns do not. These properties are why every quant uses log returns.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sz w:val="18"/>
                <w:szCs w:val="18"/>
              </w:rPr>
              <w:t xml:space="preserve">import numpy as np</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log_returns = np.log(prices / prices.shift(1)).dropna()</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print(log_returns.shape)       # ~1259 rows x 5 columns</w:t>
            </w:r>
          </w:p>
          <w:p>
            <w:pPr>
              <w:spacing w:after="20"/>
            </w:pPr>
            <w:r>
              <w:rPr>
                <w:rFonts w:ascii="Courier New" w:cs="Courier New" w:eastAsia="Courier New" w:hAnsi="Courier New"/>
                <w:sz w:val="18"/>
                <w:szCs w:val="18"/>
              </w:rPr>
              <w:t xml:space="preserve">print(log_returns.describe())  # Check mean, std, min, max</w:t>
            </w:r>
          </w:p>
        </w:tc>
      </w:tr>
    </w:tbl>
    <w:p>
      <w:pPr>
        <w:spacing w:after="100"/>
      </w:pPr>
    </w:p>
    <w:p>
      <w:pPr>
        <w:pStyle w:val="Heading2"/>
      </w:pPr>
      <w:r>
        <w:t xml:space="preserve">Step 6: Build the Covariance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80"/>
            </w:pPr>
            <w:r>
              <w:rPr>
                <w:rFonts w:ascii="Arial" w:cs="Arial" w:eastAsia="Arial" w:hAnsi="Arial"/>
                <w:b/>
                <w:bCs/>
                <w:color w:val="7B5EA7"/>
                <w:sz w:val="22"/>
                <w:szCs w:val="22"/>
              </w:rPr>
              <w:t xml:space="preserve">●  The Covariance Matrix — The Beating Heart of the Project</w:t>
            </w:r>
          </w:p>
          <w:p>
            <w:pPr>
              <w:spacing w:after="60"/>
            </w:pPr>
            <w:r>
              <w:rPr>
                <w:rFonts w:ascii="Arial" w:cs="Arial" w:eastAsia="Arial" w:hAnsi="Arial"/>
                <w:b/>
                <w:bCs/>
                <w:color w:val="555555"/>
                <w:sz w:val="20"/>
                <w:szCs w:val="20"/>
              </w:rPr>
              <w:t xml:space="preserve">Thinking: </w:t>
            </w:r>
            <w:r>
              <w:rPr>
                <w:rFonts w:ascii="Arial" w:cs="Arial" w:eastAsia="Arial" w:hAnsi="Arial"/>
                <w:color w:val="555555"/>
                <w:sz w:val="20"/>
                <w:szCs w:val="20"/>
              </w:rPr>
              <w:t xml:space="preserve">The covariance matrix captures two things simultaneously: how volatile each asset is (the diagonal values) and how assets move together (the off-diagonal values).</w:t>
            </w:r>
          </w:p>
          <w:p>
            <w:r>
              <w:rPr>
                <w:rFonts w:ascii="Arial" w:cs="Arial" w:eastAsia="Arial" w:hAnsi="Arial"/>
                <w:b/>
                <w:bCs/>
                <w:color w:val="E07050"/>
                <w:sz w:val="20"/>
                <w:szCs w:val="20"/>
              </w:rPr>
              <w:t xml:space="preserve">Why it matters: </w:t>
            </w:r>
            <w:r>
              <w:rPr>
                <w:rFonts w:ascii="Arial" w:cs="Arial" w:eastAsia="Arial" w:hAnsi="Arial"/>
                <w:color w:val="555555"/>
                <w:sz w:val="20"/>
                <w:szCs w:val="20"/>
              </w:rPr>
              <w:t xml:space="preserve">When you calculate portfolio variance, it is literally one matrix operation: weights.T @ cov_matrix @ weights. This single NumPy expression replaces nested loops over every pair of assets. Without vectorization, calculating portfolio risk for 50 assets would require 1,225 pairwise calculations in a loop. NumPy does it in microseconds. This is why the document demands mastery of vectorized matrix math.</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sz w:val="18"/>
                <w:szCs w:val="18"/>
              </w:rPr>
              <w:t xml:space="preserve"># Daily covariance</w:t>
            </w:r>
          </w:p>
          <w:p>
            <w:pPr>
              <w:spacing w:after="20"/>
            </w:pPr>
            <w:r>
              <w:rPr>
                <w:rFonts w:ascii="Courier New" w:cs="Courier New" w:eastAsia="Courier New" w:hAnsi="Courier New"/>
                <w:sz w:val="18"/>
                <w:szCs w:val="18"/>
              </w:rPr>
              <w:t xml:space="preserve">cov_daily = log_returns.cov()</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Annualize: multiply by 252 trading days</w:t>
            </w:r>
          </w:p>
          <w:p>
            <w:pPr>
              <w:spacing w:after="20"/>
            </w:pPr>
            <w:r>
              <w:rPr>
                <w:rFonts w:ascii="Courier New" w:cs="Courier New" w:eastAsia="Courier New" w:hAnsi="Courier New"/>
                <w:sz w:val="18"/>
                <w:szCs w:val="18"/>
              </w:rPr>
              <w:t xml:space="preserve">cov_annual = cov_daily * 252</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Mean daily returns (annualized)</w:t>
            </w:r>
          </w:p>
          <w:p>
            <w:pPr>
              <w:spacing w:after="20"/>
            </w:pPr>
            <w:r>
              <w:rPr>
                <w:rFonts w:ascii="Courier New" w:cs="Courier New" w:eastAsia="Courier New" w:hAnsi="Courier New"/>
                <w:sz w:val="18"/>
                <w:szCs w:val="18"/>
              </w:rPr>
              <w:t xml:space="preserve">mean_daily = log_returns.mean()</w:t>
            </w:r>
          </w:p>
          <w:p>
            <w:pPr>
              <w:spacing w:after="20"/>
            </w:pPr>
            <w:r>
              <w:rPr>
                <w:rFonts w:ascii="Courier New" w:cs="Courier New" w:eastAsia="Courier New" w:hAnsi="Courier New"/>
                <w:sz w:val="18"/>
                <w:szCs w:val="18"/>
              </w:rPr>
              <w:t xml:space="preserve">mean_annual = mean_daily * 252</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print("Annualized Covariance Matrix:")</w:t>
            </w:r>
          </w:p>
          <w:p>
            <w:pPr>
              <w:spacing w:after="20"/>
            </w:pPr>
            <w:r>
              <w:rPr>
                <w:rFonts w:ascii="Courier New" w:cs="Courier New" w:eastAsia="Courier New" w:hAnsi="Courier New"/>
                <w:sz w:val="18"/>
                <w:szCs w:val="18"/>
              </w:rPr>
              <w:t xml:space="preserve">print(cov_annual.round(4))</w:t>
            </w:r>
          </w:p>
          <w:p>
            <w:pPr>
              <w:spacing w:after="20"/>
            </w:pPr>
            <w:r>
              <w:rPr>
                <w:rFonts w:ascii="Courier New" w:cs="Courier New" w:eastAsia="Courier New" w:hAnsi="Courier New"/>
                <w:sz w:val="18"/>
                <w:szCs w:val="18"/>
              </w:rPr>
              <w:t xml:space="preserve">print("\nAnnualized Mean Returns:")</w:t>
            </w:r>
          </w:p>
          <w:p>
            <w:pPr>
              <w:spacing w:after="20"/>
            </w:pPr>
            <w:r>
              <w:rPr>
                <w:rFonts w:ascii="Courier New" w:cs="Courier New" w:eastAsia="Courier New" w:hAnsi="Courier New"/>
                <w:sz w:val="18"/>
                <w:szCs w:val="18"/>
              </w:rPr>
              <w:t xml:space="preserve">print(mean_annual.round(4))</w:t>
            </w:r>
          </w:p>
        </w:tc>
      </w:tr>
    </w:tbl>
    <w:p>
      <w:pPr>
        <w:spacing w:after="80"/>
      </w:pPr>
    </w:p>
    <w:p>
      <w:pPr>
        <w:spacing w:after="160"/>
      </w:pPr>
      <w:r>
        <w:rPr>
          <w:rFonts w:ascii="Arial" w:cs="Arial" w:eastAsia="Arial" w:hAnsi="Arial"/>
          <w:b/>
          <w:bCs/>
          <w:sz w:val="22"/>
          <w:szCs w:val="22"/>
        </w:rPr>
        <w:t xml:space="preserve">Why multiply by 252? </w:t>
      </w:r>
      <w:r>
        <w:rPr>
          <w:rFonts w:ascii="Arial" w:cs="Arial" w:eastAsia="Arial" w:hAnsi="Arial"/>
          <w:sz w:val="22"/>
          <w:szCs w:val="22"/>
        </w:rPr>
        <w:t xml:space="preserve">Covariance scales linearly with the number of periods (a property of independent returns). There are approximately 252 trading days per year. Standard deviation scales with the square root of time (√252), but covariance and variance scale directly with time.</w:t>
      </w:r>
    </w:p>
    <w:p>
      <w:pPr>
        <w:spacing w:after="100"/>
      </w:pPr>
    </w:p>
    <w:p>
      <w:pPr>
        <w:pStyle w:val="Heading2"/>
      </w:pPr>
      <w:r>
        <w:t xml:space="preserve">Step 7: Monte Carlo Simulation (10,000+ Runs)</w:t>
      </w:r>
    </w:p>
    <w:p>
      <w:pPr>
        <w:spacing w:after="160"/>
      </w:pPr>
      <w:r>
        <w:t xml:space="preserve">This is the crown jewel of the project. You are generating thousands of possible future outcomes for your portfolio by randomly sampling from a probability distribution that matches the historical behaviour of your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80"/>
            </w:pPr>
            <w:r>
              <w:rPr>
                <w:rFonts w:ascii="Arial" w:cs="Arial" w:eastAsia="Arial" w:hAnsi="Arial"/>
                <w:b/>
                <w:bCs/>
                <w:color w:val="E07050"/>
                <w:sz w:val="22"/>
                <w:szCs w:val="22"/>
              </w:rPr>
              <w:t xml:space="preserve">●  The Core Idea of Monte Carlo</w:t>
            </w:r>
          </w:p>
          <w:p>
            <w:pPr>
              <w:spacing w:after="60"/>
            </w:pPr>
            <w:r>
              <w:rPr>
                <w:rFonts w:ascii="Arial" w:cs="Arial" w:eastAsia="Arial" w:hAnsi="Arial"/>
                <w:b/>
                <w:bCs/>
                <w:color w:val="555555"/>
                <w:sz w:val="20"/>
                <w:szCs w:val="20"/>
              </w:rPr>
              <w:t xml:space="preserve">Thinking: </w:t>
            </w:r>
            <w:r>
              <w:rPr>
                <w:rFonts w:ascii="Arial" w:cs="Arial" w:eastAsia="Arial" w:hAnsi="Arial"/>
                <w:color w:val="555555"/>
                <w:sz w:val="20"/>
                <w:szCs w:val="20"/>
              </w:rPr>
              <w:t xml:space="preserve">Each simulation randomly draws 252 days of correlated returns from a multivariate normal distribution parameterized by your historical mean returns and covariance matrix. After 252 simulated days, you record the final portfolio value. Repeat 10,000 times to get a probability distribution of possible outcomes.</w:t>
            </w:r>
          </w:p>
          <w:p>
            <w:r>
              <w:rPr>
                <w:rFonts w:ascii="Arial" w:cs="Arial" w:eastAsia="Arial" w:hAnsi="Arial"/>
                <w:b/>
                <w:bCs/>
                <w:color w:val="E07050"/>
                <w:sz w:val="20"/>
                <w:szCs w:val="20"/>
              </w:rPr>
              <w:t xml:space="preserve">Why it matters: </w:t>
            </w:r>
            <w:r>
              <w:rPr>
                <w:rFonts w:ascii="Arial" w:cs="Arial" w:eastAsia="Arial" w:hAnsi="Arial"/>
                <w:color w:val="555555"/>
                <w:sz w:val="20"/>
                <w:szCs w:val="20"/>
              </w:rPr>
              <w:t xml:space="preserve">Monte Carlo is the industry-standard approach for risk modelling because it handles multiple assets with complex correlations. Unlike simple formulas, it naturally captures how diversification reduces risk and how correlated assets amplify it. 10,000 simulations ensures the distribution stabilizes (law of large numbers).</w:t>
            </w:r>
          </w:p>
        </w:tc>
      </w:tr>
    </w:tbl>
    <w:p>
      <w:pPr>
        <w:spacing w:after="100"/>
      </w:pPr>
    </w:p>
    <w:p>
      <w:pPr>
        <w:pStyle w:val="Heading3"/>
      </w:pPr>
      <w:r>
        <w:t xml:space="preserve">Step 7a: Cholesky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80"/>
            </w:pPr>
            <w:r>
              <w:rPr>
                <w:rFonts w:ascii="Arial" w:cs="Arial" w:eastAsia="Arial" w:hAnsi="Arial"/>
                <w:b/>
                <w:bCs/>
                <w:color w:val="E07050"/>
                <w:sz w:val="22"/>
                <w:szCs w:val="22"/>
              </w:rPr>
              <w:t xml:space="preserve">●  Why Cholesky? The Key Insight Most Tutorials Skip</w:t>
            </w:r>
          </w:p>
          <w:p>
            <w:pPr>
              <w:spacing w:after="60"/>
            </w:pPr>
            <w:r>
              <w:rPr>
                <w:rFonts w:ascii="Arial" w:cs="Arial" w:eastAsia="Arial" w:hAnsi="Arial"/>
                <w:b/>
                <w:bCs/>
                <w:color w:val="555555"/>
                <w:sz w:val="20"/>
                <w:szCs w:val="20"/>
              </w:rPr>
              <w:t xml:space="preserve">Thinking: </w:t>
            </w:r>
            <w:r>
              <w:rPr>
                <w:rFonts w:ascii="Arial" w:cs="Arial" w:eastAsia="Arial" w:hAnsi="Arial"/>
                <w:color w:val="555555"/>
                <w:sz w:val="20"/>
                <w:szCs w:val="20"/>
              </w:rPr>
              <w:t xml:space="preserve">You cannot draw random numbers independently for each stock and expect realistic results. Independent draws would ignore the correlations between assets — when tech drops, your simulation needs finance and energy to respond realistically.</w:t>
            </w:r>
          </w:p>
          <w:p>
            <w:r>
              <w:rPr>
                <w:rFonts w:ascii="Arial" w:cs="Arial" w:eastAsia="Arial" w:hAnsi="Arial"/>
                <w:b/>
                <w:bCs/>
                <w:color w:val="E07050"/>
                <w:sz w:val="20"/>
                <w:szCs w:val="20"/>
              </w:rPr>
              <w:t xml:space="preserve">Why it matters: </w:t>
            </w:r>
            <w:r>
              <w:rPr>
                <w:rFonts w:ascii="Arial" w:cs="Arial" w:eastAsia="Arial" w:hAnsi="Arial"/>
                <w:color w:val="555555"/>
                <w:sz w:val="20"/>
                <w:szCs w:val="20"/>
              </w:rPr>
              <w:t xml:space="preserve">Cholesky decomposes the covariance matrix into a lower-triangular matrix L such that L @ L.T = covariance matrix. When you multiply L by independent standard normal random numbers, the result is a set of correlated random draws that respect the historical relationship between your assets. This is the mathematical magic that makes the simulation realistic.</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sz w:val="18"/>
                <w:szCs w:val="18"/>
              </w:rPr>
              <w:t xml:space="preserve"># Cholesky decomposition of DAILY covariance</w:t>
            </w:r>
          </w:p>
          <w:p>
            <w:pPr>
              <w:spacing w:after="20"/>
            </w:pPr>
            <w:r>
              <w:rPr>
                <w:rFonts w:ascii="Courier New" w:cs="Courier New" w:eastAsia="Courier New" w:hAnsi="Courier New"/>
                <w:sz w:val="18"/>
                <w:szCs w:val="18"/>
              </w:rPr>
              <w:t xml:space="preserve">L = np.linalg.cholesky(cov_daily)</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Simulation parameters</w:t>
            </w:r>
          </w:p>
          <w:p>
            <w:pPr>
              <w:spacing w:after="20"/>
            </w:pPr>
            <w:r>
              <w:rPr>
                <w:rFonts w:ascii="Courier New" w:cs="Courier New" w:eastAsia="Courier New" w:hAnsi="Courier New"/>
                <w:sz w:val="18"/>
                <w:szCs w:val="18"/>
              </w:rPr>
              <w:t xml:space="preserve">num_sims = 10000</w:t>
            </w:r>
          </w:p>
          <w:p>
            <w:pPr>
              <w:spacing w:after="20"/>
            </w:pPr>
            <w:r>
              <w:rPr>
                <w:rFonts w:ascii="Courier New" w:cs="Courier New" w:eastAsia="Courier New" w:hAnsi="Courier New"/>
                <w:sz w:val="18"/>
                <w:szCs w:val="18"/>
              </w:rPr>
              <w:t xml:space="preserve">num_days = 252</w:t>
            </w:r>
          </w:p>
          <w:p>
            <w:pPr>
              <w:spacing w:after="20"/>
            </w:pPr>
            <w:r>
              <w:rPr>
                <w:rFonts w:ascii="Courier New" w:cs="Courier New" w:eastAsia="Courier New" w:hAnsi="Courier New"/>
                <w:sz w:val="18"/>
                <w:szCs w:val="18"/>
              </w:rPr>
              <w:t xml:space="preserve">initial_portfolio = 1000000  # 10 lakh rupees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Equal weights for simplicity (you can customize)</w:t>
            </w:r>
          </w:p>
          <w:p>
            <w:pPr>
              <w:spacing w:after="20"/>
            </w:pPr>
            <w:r>
              <w:rPr>
                <w:rFonts w:ascii="Courier New" w:cs="Courier New" w:eastAsia="Courier New" w:hAnsi="Courier New"/>
                <w:sz w:val="18"/>
                <w:szCs w:val="18"/>
              </w:rPr>
              <w:t xml:space="preserve">weights = np.array([0.2, 0.2, 0.2, 0.2, 0.2])</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Run simulation</w:t>
            </w:r>
          </w:p>
          <w:p>
            <w:pPr>
              <w:spacing w:after="20"/>
            </w:pPr>
            <w:r>
              <w:rPr>
                <w:rFonts w:ascii="Courier New" w:cs="Courier New" w:eastAsia="Courier New" w:hAnsi="Courier New"/>
                <w:sz w:val="18"/>
                <w:szCs w:val="18"/>
              </w:rPr>
              <w:t xml:space="preserve">portfolio_end_values = np.zeros(num_sims)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for i in range(num_sims):</w:t>
            </w:r>
          </w:p>
          <w:p>
            <w:pPr>
              <w:spacing w:after="20"/>
            </w:pPr>
            <w:r>
              <w:rPr>
                <w:rFonts w:ascii="Courier New" w:cs="Courier New" w:eastAsia="Courier New" w:hAnsi="Courier New"/>
                <w:sz w:val="18"/>
                <w:szCs w:val="18"/>
              </w:rPr>
              <w:t xml:space="preserve">    # Generate correlated daily returns</w:t>
            </w:r>
          </w:p>
          <w:p>
            <w:pPr>
              <w:spacing w:after="20"/>
            </w:pPr>
            <w:r>
              <w:rPr>
                <w:rFonts w:ascii="Courier New" w:cs="Courier New" w:eastAsia="Courier New" w:hAnsi="Courier New"/>
                <w:sz w:val="18"/>
                <w:szCs w:val="18"/>
              </w:rPr>
              <w:t xml:space="preserve">    daily_portfolio_returns = np.zeros(num_days)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for d in range(num_days):</w:t>
            </w:r>
          </w:p>
          <w:p>
            <w:pPr>
              <w:spacing w:after="20"/>
            </w:pPr>
            <w:r>
              <w:rPr>
                <w:rFonts w:ascii="Courier New" w:cs="Courier New" w:eastAsia="Courier New" w:hAnsi="Courier New"/>
                <w:sz w:val="18"/>
                <w:szCs w:val="18"/>
              </w:rPr>
              <w:t xml:space="preserve">        # Independent standard normals</w:t>
            </w:r>
          </w:p>
          <w:p>
            <w:pPr>
              <w:spacing w:after="20"/>
            </w:pPr>
            <w:r>
              <w:rPr>
                <w:rFonts w:ascii="Courier New" w:cs="Courier New" w:eastAsia="Courier New" w:hAnsi="Courier New"/>
                <w:sz w:val="18"/>
                <w:szCs w:val="18"/>
              </w:rPr>
              <w:t xml:space="preserve">        Z = np.random.standard_normal(len(tickers))</w:t>
            </w:r>
          </w:p>
          <w:p>
            <w:pPr>
              <w:spacing w:after="20"/>
            </w:pPr>
            <w:r>
              <w:rPr>
                <w:rFonts w:ascii="Courier New" w:cs="Courier New" w:eastAsia="Courier New" w:hAnsi="Courier New"/>
                <w:sz w:val="18"/>
                <w:szCs w:val="18"/>
              </w:rPr>
              <w:t xml:space="preserve">        # Correlated returns via Cholesky</w:t>
            </w:r>
          </w:p>
          <w:p>
            <w:pPr>
              <w:spacing w:after="20"/>
            </w:pPr>
            <w:r>
              <w:rPr>
                <w:rFonts w:ascii="Courier New" w:cs="Courier New" w:eastAsia="Courier New" w:hAnsi="Courier New"/>
                <w:sz w:val="18"/>
                <w:szCs w:val="18"/>
              </w:rPr>
              <w:t xml:space="preserve">        correlated_returns = mean_daily.values + L @ Z</w:t>
            </w:r>
          </w:p>
          <w:p>
            <w:pPr>
              <w:spacing w:after="20"/>
            </w:pPr>
            <w:r>
              <w:rPr>
                <w:rFonts w:ascii="Courier New" w:cs="Courier New" w:eastAsia="Courier New" w:hAnsi="Courier New"/>
                <w:sz w:val="18"/>
                <w:szCs w:val="18"/>
              </w:rPr>
              <w:t xml:space="preserve">        # Weighted portfolio return for this day</w:t>
            </w:r>
          </w:p>
          <w:p>
            <w:pPr>
              <w:spacing w:after="20"/>
            </w:pPr>
            <w:r>
              <w:rPr>
                <w:rFonts w:ascii="Courier New" w:cs="Courier New" w:eastAsia="Courier New" w:hAnsi="Courier New"/>
                <w:sz w:val="18"/>
                <w:szCs w:val="18"/>
              </w:rPr>
              <w:t xml:space="preserve">        daily_portfolio_returns[d] = np.dot(weights, correlated_returns)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 Compound returns over 252 days</w:t>
            </w:r>
          </w:p>
          <w:p>
            <w:pPr>
              <w:spacing w:after="20"/>
            </w:pPr>
            <w:r>
              <w:rPr>
                <w:rFonts w:ascii="Courier New" w:cs="Courier New" w:eastAsia="Courier New" w:hAnsi="Courier New"/>
                <w:sz w:val="18"/>
                <w:szCs w:val="18"/>
              </w:rPr>
              <w:t xml:space="preserve">    cumulative = np.exp(np.sum(daily_portfolio_returns))</w:t>
            </w:r>
          </w:p>
          <w:p>
            <w:pPr>
              <w:spacing w:after="20"/>
            </w:pPr>
            <w:r>
              <w:rPr>
                <w:rFonts w:ascii="Courier New" w:cs="Courier New" w:eastAsia="Courier New" w:hAnsi="Courier New"/>
                <w:sz w:val="18"/>
                <w:szCs w:val="18"/>
              </w:rPr>
              <w:t xml:space="preserve">    portfolio_end_values[i] = initial_portfolio * cumulative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print(f"Mean final value: {np.mean(portfolio_end_values):,.0f}")</w:t>
            </w:r>
          </w:p>
          <w:p>
            <w:pPr>
              <w:spacing w:after="20"/>
            </w:pPr>
            <w:r>
              <w:rPr>
                <w:rFonts w:ascii="Courier New" w:cs="Courier New" w:eastAsia="Courier New" w:hAnsi="Courier New"/>
                <w:sz w:val="18"/>
                <w:szCs w:val="18"/>
              </w:rPr>
              <w:t xml:space="preserve">print(f"Median final value: {np.median(portfolio_end_values):,.0f}")</w:t>
            </w:r>
          </w:p>
          <w:p>
            <w:pPr>
              <w:spacing w:after="20"/>
            </w:pPr>
            <w:r>
              <w:rPr>
                <w:rFonts w:ascii="Courier New" w:cs="Courier New" w:eastAsia="Courier New" w:hAnsi="Courier New"/>
                <w:sz w:val="18"/>
                <w:szCs w:val="18"/>
              </w:rPr>
              <w:t xml:space="preserve">print(f"Std dev: {np.std(portfolio_end_values):,.0f}")</w:t>
            </w:r>
          </w:p>
        </w:tc>
      </w:tr>
    </w:tbl>
    <w:p>
      <w:pPr>
        <w:spacing w:after="100"/>
      </w:pPr>
    </w:p>
    <w:p>
      <w:pPr>
        <w:pStyle w:val="Heading2"/>
      </w:pPr>
      <w:r>
        <w:t xml:space="preserve">Step 8: Calculate Value at Risk (VaR) at 95%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80"/>
            </w:pPr>
            <w:r>
              <w:rPr>
                <w:rFonts w:ascii="Arial" w:cs="Arial" w:eastAsia="Arial" w:hAnsi="Arial"/>
                <w:b/>
                <w:bCs/>
                <w:color w:val="E07050"/>
                <w:sz w:val="22"/>
                <w:szCs w:val="22"/>
              </w:rPr>
              <w:t xml:space="preserve">●  VaR — The Single Number That Risk Managers Need</w:t>
            </w:r>
          </w:p>
          <w:p>
            <w:pPr>
              <w:spacing w:after="60"/>
            </w:pPr>
            <w:r>
              <w:rPr>
                <w:rFonts w:ascii="Arial" w:cs="Arial" w:eastAsia="Arial" w:hAnsi="Arial"/>
                <w:b/>
                <w:bCs/>
                <w:color w:val="555555"/>
                <w:sz w:val="20"/>
                <w:szCs w:val="20"/>
              </w:rPr>
              <w:t xml:space="preserve">Thinking: </w:t>
            </w:r>
            <w:r>
              <w:rPr>
                <w:rFonts w:ascii="Arial" w:cs="Arial" w:eastAsia="Arial" w:hAnsi="Arial"/>
                <w:color w:val="555555"/>
                <w:sz w:val="20"/>
                <w:szCs w:val="20"/>
              </w:rPr>
              <w:t xml:space="preserve">Value at Risk at the 95% confidence level answers: what is the worst loss you can expect in 95% of scenarios? You are looking at the 5th percentile of your simulated outcomes.</w:t>
            </w:r>
          </w:p>
          <w:p>
            <w:r>
              <w:rPr>
                <w:rFonts w:ascii="Arial" w:cs="Arial" w:eastAsia="Arial" w:hAnsi="Arial"/>
                <w:b/>
                <w:bCs/>
                <w:color w:val="E07050"/>
                <w:sz w:val="20"/>
                <w:szCs w:val="20"/>
              </w:rPr>
              <w:t xml:space="preserve">Why it matters: </w:t>
            </w:r>
            <w:r>
              <w:rPr>
                <w:rFonts w:ascii="Arial" w:cs="Arial" w:eastAsia="Arial" w:hAnsi="Arial"/>
                <w:color w:val="555555"/>
                <w:sz w:val="20"/>
                <w:szCs w:val="20"/>
              </w:rPr>
              <w:t xml:space="preserve">Risk managers need a single, reportable number for regulators and executives. If VaR at 95% says your portfolio could lose at most 1.5 lakhs, then there is a 5% chance the actual loss exceeds that. This is the language of institutional risk management and it is what makes this project interview-ready.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sz w:val="18"/>
                <w:szCs w:val="18"/>
              </w:rPr>
              <w:t xml:space="preserve"># VaR at 95% confidence</w:t>
            </w:r>
          </w:p>
          <w:p>
            <w:pPr>
              <w:spacing w:after="20"/>
            </w:pPr>
            <w:r>
              <w:rPr>
                <w:rFonts w:ascii="Courier New" w:cs="Courier New" w:eastAsia="Courier New" w:hAnsi="Courier New"/>
                <w:sz w:val="18"/>
                <w:szCs w:val="18"/>
              </w:rPr>
              <w:t xml:space="preserve">VaR_95 = np.percentile(portfolio_end_values, 5)</w:t>
            </w:r>
          </w:p>
          <w:p>
            <w:pPr>
              <w:spacing w:after="20"/>
            </w:pPr>
            <w:r>
              <w:rPr>
                <w:rFonts w:ascii="Courier New" w:cs="Courier New" w:eastAsia="Courier New" w:hAnsi="Courier New"/>
                <w:sz w:val="18"/>
                <w:szCs w:val="18"/>
              </w:rPr>
              <w:t xml:space="preserve">VaR_loss = initial_portfolio - VaR_95</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print(f"VaR (95%): {VaR_95:,.0f}")</w:t>
            </w:r>
          </w:p>
          <w:p>
            <w:pPr>
              <w:spacing w:after="20"/>
            </w:pPr>
            <w:r>
              <w:rPr>
                <w:rFonts w:ascii="Courier New" w:cs="Courier New" w:eastAsia="Courier New" w:hAnsi="Courier New"/>
                <w:sz w:val="18"/>
                <w:szCs w:val="18"/>
              </w:rPr>
              <w:t xml:space="preserve">print(f"Maximum expected loss (95% CI): {VaR_loss:,.0f}")</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Also calculate VaR at 99% for comparison</w:t>
            </w:r>
          </w:p>
          <w:p>
            <w:pPr>
              <w:spacing w:after="20"/>
            </w:pPr>
            <w:r>
              <w:rPr>
                <w:rFonts w:ascii="Courier New" w:cs="Courier New" w:eastAsia="Courier New" w:hAnsi="Courier New"/>
                <w:sz w:val="18"/>
                <w:szCs w:val="18"/>
              </w:rPr>
              <w:t xml:space="preserve">VaR_99 = np.percentile(portfolio_end_values, 1)</w:t>
            </w:r>
          </w:p>
          <w:p>
            <w:pPr>
              <w:spacing w:after="20"/>
            </w:pPr>
            <w:r>
              <w:rPr>
                <w:rFonts w:ascii="Courier New" w:cs="Courier New" w:eastAsia="Courier New" w:hAnsi="Courier New"/>
                <w:sz w:val="18"/>
                <w:szCs w:val="18"/>
              </w:rPr>
              <w:t xml:space="preserve">print(f"VaR (99%): {VaR_99:,.0f}")</w:t>
            </w:r>
          </w:p>
          <w:p>
            <w:pPr>
              <w:spacing w:after="20"/>
            </w:pPr>
            <w:r>
              <w:rPr>
                <w:rFonts w:ascii="Courier New" w:cs="Courier New" w:eastAsia="Courier New" w:hAnsi="Courier New"/>
                <w:sz w:val="18"/>
                <w:szCs w:val="18"/>
              </w:rPr>
              <w:t xml:space="preserve">print(f"Maximum expected loss (99% CI): {initial_portfolio - VaR_99:,.0f}")</w:t>
            </w:r>
          </w:p>
        </w:tc>
      </w:tr>
    </w:tbl>
    <w:p>
      <w:pPr>
        <w:spacing w:after="100"/>
      </w:pPr>
    </w:p>
    <w:p>
      <w:pPr>
        <w:pStyle w:val="Heading2"/>
      </w:pPr>
      <w:r>
        <w:t xml:space="preserve">Step 9: Rolling Volatility (30-Day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80"/>
            </w:pPr>
            <w:r>
              <w:rPr>
                <w:rFonts w:ascii="Arial" w:cs="Arial" w:eastAsia="Arial" w:hAnsi="Arial"/>
                <w:b/>
                <w:bCs/>
                <w:color w:val="7B5EA7"/>
                <w:sz w:val="22"/>
                <w:szCs w:val="22"/>
              </w:rPr>
              <w:t xml:space="preserve">●  Why Rolling, Not Static?</w:t>
            </w:r>
          </w:p>
          <w:p>
            <w:pPr>
              <w:spacing w:after="60"/>
            </w:pPr>
            <w:r>
              <w:rPr>
                <w:rFonts w:ascii="Arial" w:cs="Arial" w:eastAsia="Arial" w:hAnsi="Arial"/>
                <w:b/>
                <w:bCs/>
                <w:color w:val="555555"/>
                <w:sz w:val="20"/>
                <w:szCs w:val="20"/>
              </w:rPr>
              <w:t xml:space="preserve">Thinking: </w:t>
            </w:r>
            <w:r>
              <w:rPr>
                <w:rFonts w:ascii="Arial" w:cs="Arial" w:eastAsia="Arial" w:hAnsi="Arial"/>
                <w:color w:val="555555"/>
                <w:sz w:val="20"/>
                <w:szCs w:val="20"/>
              </w:rPr>
              <w:t xml:space="preserve">A single standard deviation over 5 years hides the fact that markets were calm in 2021 but extremely volatile in early 2020 and 2022. Rolling volatility shows the trajectory of risk over time.</w:t>
            </w:r>
          </w:p>
          <w:p>
            <w:r>
              <w:rPr>
                <w:rFonts w:ascii="Arial" w:cs="Arial" w:eastAsia="Arial" w:hAnsi="Arial"/>
                <w:b/>
                <w:bCs/>
                <w:color w:val="E07050"/>
                <w:sz w:val="20"/>
                <w:szCs w:val="20"/>
              </w:rPr>
              <w:t xml:space="preserve">Why it matters: </w:t>
            </w:r>
            <w:r>
              <w:rPr>
                <w:rFonts w:ascii="Arial" w:cs="Arial" w:eastAsia="Arial" w:hAnsi="Arial"/>
                <w:color w:val="555555"/>
                <w:sz w:val="20"/>
                <w:szCs w:val="20"/>
              </w:rPr>
              <w:t xml:space="preserve">This is a time-sensitive early warning system. If rolling volatility is climbing, risk is increasing right now. Portfolio managers use this to decide whether to reduce exposure before a storm hits. The 30-day window is a standard choice that balances smoothness with responsiveness.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sz w:val="18"/>
                <w:szCs w:val="18"/>
              </w:rPr>
              <w:t xml:space="preserve"># Rolling 30-day volatility (annualized)</w:t>
            </w:r>
          </w:p>
          <w:p>
            <w:pPr>
              <w:spacing w:after="20"/>
            </w:pPr>
            <w:r>
              <w:rPr>
                <w:rFonts w:ascii="Courier New" w:cs="Courier New" w:eastAsia="Courier New" w:hAnsi="Courier New"/>
                <w:sz w:val="18"/>
                <w:szCs w:val="18"/>
              </w:rPr>
              <w:t xml:space="preserve">rolling_vol = log_returns.rolling(window=30).std() * np.sqrt(252)</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Why sqrt(252)? Standard deviation scales with the</w:t>
            </w:r>
          </w:p>
          <w:p>
            <w:pPr>
              <w:spacing w:after="20"/>
            </w:pPr>
            <w:r>
              <w:rPr>
                <w:rFonts w:ascii="Courier New" w:cs="Courier New" w:eastAsia="Courier New" w:hAnsi="Courier New"/>
                <w:sz w:val="18"/>
                <w:szCs w:val="18"/>
              </w:rPr>
              <w:t xml:space="preserve"># square root of time, not linearly. This is a fundamental</w:t>
            </w:r>
          </w:p>
          <w:p>
            <w:pPr>
              <w:spacing w:after="20"/>
            </w:pPr>
            <w:r>
              <w:rPr>
                <w:rFonts w:ascii="Courier New" w:cs="Courier New" w:eastAsia="Courier New" w:hAnsi="Courier New"/>
                <w:sz w:val="18"/>
                <w:szCs w:val="18"/>
              </w:rPr>
              <w:t xml:space="preserve"># property of independent returns.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rolling_vol.plot(figsize=(14, 6), title='30-Day Rolling Volatility (Annualized)')</w:t>
            </w:r>
          </w:p>
          <w:p>
            <w:pPr>
              <w:spacing w:after="20"/>
            </w:pPr>
            <w:r>
              <w:rPr>
                <w:rFonts w:ascii="Courier New" w:cs="Courier New" w:eastAsia="Courier New" w:hAnsi="Courier New"/>
                <w:sz w:val="18"/>
                <w:szCs w:val="18"/>
              </w:rPr>
              <w:t xml:space="preserve">plt.ylabel('Annualized Volatility')</w:t>
            </w:r>
          </w:p>
          <w:p>
            <w:pPr>
              <w:spacing w:after="20"/>
            </w:pPr>
            <w:r>
              <w:rPr>
                <w:rFonts w:ascii="Courier New" w:cs="Courier New" w:eastAsia="Courier New" w:hAnsi="Courier New"/>
                <w:sz w:val="18"/>
                <w:szCs w:val="18"/>
              </w:rPr>
              <w:t xml:space="preserve">plt.savefig('rolling_volatility.png', dpi=150)</w:t>
            </w:r>
          </w:p>
          <w:p>
            <w:pPr>
              <w:spacing w:after="20"/>
            </w:pPr>
            <w:r>
              <w:rPr>
                <w:rFonts w:ascii="Courier New" w:cs="Courier New" w:eastAsia="Courier New" w:hAnsi="Courier New"/>
                <w:sz w:val="18"/>
                <w:szCs w:val="18"/>
              </w:rPr>
              <w:t xml:space="preserve">plt.show()</w:t>
            </w:r>
          </w:p>
        </w:tc>
      </w:tr>
    </w:tbl>
    <w:p>
      <w:pPr>
        <w:spacing w:after="100"/>
      </w:pPr>
    </w:p>
    <w:p>
      <w:pPr>
        <w:pStyle w:val="Heading2"/>
      </w:pPr>
      <w:r>
        <w:t xml:space="preserve">Step 10: Sharpe 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80"/>
            </w:pPr>
            <w:r>
              <w:rPr>
                <w:rFonts w:ascii="Arial" w:cs="Arial" w:eastAsia="Arial" w:hAnsi="Arial"/>
                <w:b/>
                <w:bCs/>
                <w:color w:val="7B5EA7"/>
                <w:sz w:val="22"/>
                <w:szCs w:val="22"/>
              </w:rPr>
              <w:t xml:space="preserve">●  The Sharpe Ratio — Reward per Unit of Risk</w:t>
            </w:r>
          </w:p>
          <w:p>
            <w:pPr>
              <w:spacing w:after="60"/>
            </w:pPr>
            <w:r>
              <w:rPr>
                <w:rFonts w:ascii="Arial" w:cs="Arial" w:eastAsia="Arial" w:hAnsi="Arial"/>
                <w:b/>
                <w:bCs/>
                <w:color w:val="555555"/>
                <w:sz w:val="20"/>
                <w:szCs w:val="20"/>
              </w:rPr>
              <w:t xml:space="preserve">Thinking: </w:t>
            </w:r>
            <w:r>
              <w:rPr>
                <w:rFonts w:ascii="Arial" w:cs="Arial" w:eastAsia="Arial" w:hAnsi="Arial"/>
                <w:color w:val="555555"/>
                <w:sz w:val="20"/>
                <w:szCs w:val="20"/>
              </w:rPr>
              <w:t xml:space="preserve">Two portfolios can have identical returns but wildly different risk profiles. The Sharpe Ratio standardizes this comparison: how much excess return (above the risk-free rate) did you earn per unit of volatility?</w:t>
            </w:r>
          </w:p>
          <w:p>
            <w:r>
              <w:rPr>
                <w:rFonts w:ascii="Arial" w:cs="Arial" w:eastAsia="Arial" w:hAnsi="Arial"/>
                <w:b/>
                <w:bCs/>
                <w:color w:val="E07050"/>
                <w:sz w:val="20"/>
                <w:szCs w:val="20"/>
              </w:rPr>
              <w:t xml:space="preserve">Why it matters: </w:t>
            </w:r>
            <w:r>
              <w:rPr>
                <w:rFonts w:ascii="Arial" w:cs="Arial" w:eastAsia="Arial" w:hAnsi="Arial"/>
                <w:color w:val="555555"/>
                <w:sz w:val="20"/>
                <w:szCs w:val="20"/>
              </w:rPr>
              <w:t xml:space="preserve">A Sharpe Ratio above 1.0 is good, above 2.0 is excellent. Below 0 means you would have been better off in government bonds. This single metric is used in every hedge fund, every asset management firm, and every quant interview. Formula: (Portfolio Return - Risk-Free Rate) / Portfolio Standard Deviation.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sz w:val="18"/>
                <w:szCs w:val="18"/>
              </w:rPr>
              <w:t xml:space="preserve"># Sharpe Ratio calculation</w:t>
            </w:r>
          </w:p>
          <w:p>
            <w:pPr>
              <w:spacing w:after="20"/>
            </w:pPr>
            <w:r>
              <w:rPr>
                <w:rFonts w:ascii="Courier New" w:cs="Courier New" w:eastAsia="Courier New" w:hAnsi="Courier New"/>
                <w:sz w:val="18"/>
                <w:szCs w:val="18"/>
              </w:rPr>
              <w:t xml:space="preserve">risk_free_rate = 0.05  # 5% annual (approximate current rate)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portfolio_annual_return = np.dot(weights, mean_annual)</w:t>
            </w:r>
          </w:p>
          <w:p>
            <w:pPr>
              <w:spacing w:after="20"/>
            </w:pPr>
            <w:r>
              <w:rPr>
                <w:rFonts w:ascii="Courier New" w:cs="Courier New" w:eastAsia="Courier New" w:hAnsi="Courier New"/>
                <w:sz w:val="18"/>
                <w:szCs w:val="18"/>
              </w:rPr>
              <w:t xml:space="preserve">portfolio_annual_vol = np.sqrt(</w:t>
            </w:r>
          </w:p>
          <w:p>
            <w:pPr>
              <w:spacing w:after="20"/>
            </w:pPr>
            <w:r>
              <w:rPr>
                <w:rFonts w:ascii="Courier New" w:cs="Courier New" w:eastAsia="Courier New" w:hAnsi="Courier New"/>
                <w:sz w:val="18"/>
                <w:szCs w:val="18"/>
              </w:rPr>
              <w:t xml:space="preserve">    weights.T @ cov_annual.values @ weights</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sharpe_ratio = (portfolio_annual_return - risk_free_rate) / portfolio_annual_vol</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print(f"Portfolio Annual Return: {portfolio_annual_return:.4f}")</w:t>
            </w:r>
          </w:p>
          <w:p>
            <w:pPr>
              <w:spacing w:after="20"/>
            </w:pPr>
            <w:r>
              <w:rPr>
                <w:rFonts w:ascii="Courier New" w:cs="Courier New" w:eastAsia="Courier New" w:hAnsi="Courier New"/>
                <w:sz w:val="18"/>
                <w:szCs w:val="18"/>
              </w:rPr>
              <w:t xml:space="preserve">print(f"Portfolio Annual Volatility: {portfolio_annual_vol:.4f}")</w:t>
            </w:r>
          </w:p>
          <w:p>
            <w:pPr>
              <w:spacing w:after="20"/>
            </w:pPr>
            <w:r>
              <w:rPr>
                <w:rFonts w:ascii="Courier New" w:cs="Courier New" w:eastAsia="Courier New" w:hAnsi="Courier New"/>
                <w:sz w:val="18"/>
                <w:szCs w:val="18"/>
              </w:rPr>
              <w:t xml:space="preserve">print(f"Sharpe Ratio: {sharpe_ratio:.4f}")</w:t>
            </w:r>
          </w:p>
        </w:tc>
      </w:tr>
    </w:tbl>
    <w:p>
      <w:pPr>
        <w:spacing w:after="100"/>
      </w:pPr>
    </w:p>
    <w:p>
      <w:pPr>
        <w:pStyle w:val="Heading3"/>
      </w:pPr>
      <w:r>
        <w:t xml:space="preserve">Week 2 Checklist</w:t>
      </w:r>
    </w:p>
    <w:p>
      <w:pPr>
        <w:spacing w:after="100"/>
        <w:ind w:left="360"/>
      </w:pPr>
      <w:r>
        <w:rPr>
          <w:rFonts w:ascii="Segoe UI Symbol" w:cs="Segoe UI Symbol" w:eastAsia="Segoe UI Symbol" w:hAnsi="Segoe UI Symbol"/>
          <w:sz w:val="24"/>
          <w:szCs w:val="24"/>
        </w:rPr>
        <w:t xml:space="preserve">☐  </w:t>
      </w:r>
      <w:r>
        <w:rPr>
          <w:rFonts w:ascii="Arial" w:cs="Arial" w:eastAsia="Arial" w:hAnsi="Arial"/>
          <w:sz w:val="22"/>
          <w:szCs w:val="22"/>
        </w:rPr>
        <w:t xml:space="preserve">Log returns calculated and validated</w:t>
      </w:r>
    </w:p>
    <w:p>
      <w:pPr>
        <w:spacing w:after="100"/>
        <w:ind w:left="360"/>
      </w:pPr>
      <w:r>
        <w:rPr>
          <w:rFonts w:ascii="Segoe UI Symbol" w:cs="Segoe UI Symbol" w:eastAsia="Segoe UI Symbol" w:hAnsi="Segoe UI Symbol"/>
          <w:sz w:val="24"/>
          <w:szCs w:val="24"/>
        </w:rPr>
        <w:t xml:space="preserve">☐  </w:t>
      </w:r>
      <w:r>
        <w:rPr>
          <w:rFonts w:ascii="Arial" w:cs="Arial" w:eastAsia="Arial" w:hAnsi="Arial"/>
          <w:sz w:val="22"/>
          <w:szCs w:val="22"/>
        </w:rPr>
        <w:t xml:space="preserve">Covariance matrix built and annualized</w:t>
      </w:r>
    </w:p>
    <w:p>
      <w:pPr>
        <w:spacing w:after="100"/>
        <w:ind w:left="360"/>
      </w:pPr>
      <w:r>
        <w:rPr>
          <w:rFonts w:ascii="Segoe UI Symbol" w:cs="Segoe UI Symbol" w:eastAsia="Segoe UI Symbol" w:hAnsi="Segoe UI Symbol"/>
          <w:sz w:val="24"/>
          <w:szCs w:val="24"/>
        </w:rPr>
        <w:t xml:space="preserve">☐  </w:t>
      </w:r>
      <w:r>
        <w:rPr>
          <w:rFonts w:ascii="Arial" w:cs="Arial" w:eastAsia="Arial" w:hAnsi="Arial"/>
          <w:sz w:val="22"/>
          <w:szCs w:val="22"/>
        </w:rPr>
        <w:t xml:space="preserve">Monte Carlo simulation running with Cholesky decomposition</w:t>
      </w:r>
    </w:p>
    <w:p>
      <w:pPr>
        <w:spacing w:after="100"/>
        <w:ind w:left="360"/>
      </w:pPr>
      <w:r>
        <w:rPr>
          <w:rFonts w:ascii="Segoe UI Symbol" w:cs="Segoe UI Symbol" w:eastAsia="Segoe UI Symbol" w:hAnsi="Segoe UI Symbol"/>
          <w:sz w:val="24"/>
          <w:szCs w:val="24"/>
        </w:rPr>
        <w:t xml:space="preserve">☐  </w:t>
      </w:r>
      <w:r>
        <w:rPr>
          <w:rFonts w:ascii="Arial" w:cs="Arial" w:eastAsia="Arial" w:hAnsi="Arial"/>
          <w:sz w:val="22"/>
          <w:szCs w:val="22"/>
        </w:rPr>
        <w:t xml:space="preserve">VaR at 95% and 99% confidence calculated</w:t>
      </w:r>
    </w:p>
    <w:p>
      <w:pPr>
        <w:spacing w:after="100"/>
        <w:ind w:left="360"/>
      </w:pPr>
      <w:r>
        <w:rPr>
          <w:rFonts w:ascii="Segoe UI Symbol" w:cs="Segoe UI Symbol" w:eastAsia="Segoe UI Symbol" w:hAnsi="Segoe UI Symbol"/>
          <w:sz w:val="24"/>
          <w:szCs w:val="24"/>
        </w:rPr>
        <w:t xml:space="preserve">☐  </w:t>
      </w:r>
      <w:r>
        <w:rPr>
          <w:rFonts w:ascii="Arial" w:cs="Arial" w:eastAsia="Arial" w:hAnsi="Arial"/>
          <w:sz w:val="22"/>
          <w:szCs w:val="22"/>
        </w:rPr>
        <w:t xml:space="preserve">Rolling 30-day volatility plotted</w:t>
      </w:r>
    </w:p>
    <w:p>
      <w:pPr>
        <w:spacing w:after="100"/>
        <w:ind w:left="360"/>
      </w:pPr>
      <w:r>
        <w:rPr>
          <w:rFonts w:ascii="Segoe UI Symbol" w:cs="Segoe UI Symbol" w:eastAsia="Segoe UI Symbol" w:hAnsi="Segoe UI Symbol"/>
          <w:sz w:val="24"/>
          <w:szCs w:val="24"/>
        </w:rPr>
        <w:t xml:space="preserve">☐  </w:t>
      </w:r>
      <w:r>
        <w:rPr>
          <w:rFonts w:ascii="Arial" w:cs="Arial" w:eastAsia="Arial" w:hAnsi="Arial"/>
          <w:sz w:val="22"/>
          <w:szCs w:val="22"/>
        </w:rPr>
        <w:t xml:space="preserve">Sharpe Ratio computed</w:t>
      </w:r>
    </w:p>
    <w:p>
      <w:pPr>
        <w:spacing w:after="100"/>
        <w:ind w:left="360"/>
      </w:pPr>
      <w:r>
        <w:rPr>
          <w:rFonts w:ascii="Segoe UI Symbol" w:cs="Segoe UI Symbol" w:eastAsia="Segoe UI Symbol" w:hAnsi="Segoe UI Symbol"/>
          <w:sz w:val="24"/>
          <w:szCs w:val="24"/>
        </w:rPr>
        <w:t xml:space="preserve">☐  </w:t>
      </w:r>
      <w:r>
        <w:rPr>
          <w:rFonts w:ascii="Arial" w:cs="Arial" w:eastAsia="Arial" w:hAnsi="Arial"/>
          <w:sz w:val="22"/>
          <w:szCs w:val="22"/>
        </w:rPr>
        <w:t xml:space="preserve">Statistical sanity check: Monte Carlo output vs historical performance</w:t>
      </w:r>
    </w:p>
    <w:p>
      <w:pPr>
        <w:spacing w:after="100"/>
        <w:ind w:left="360"/>
      </w:pPr>
      <w:r>
        <w:rPr>
          <w:rFonts w:ascii="Segoe UI Symbol" w:cs="Segoe UI Symbol" w:eastAsia="Segoe UI Symbol" w:hAnsi="Segoe UI Symbol"/>
          <w:sz w:val="24"/>
          <w:szCs w:val="24"/>
        </w:rPr>
        <w:t xml:space="preserve">☐  </w:t>
      </w:r>
      <w:r>
        <w:rPr>
          <w:rFonts w:ascii="Arial" w:cs="Arial" w:eastAsia="Arial" w:hAnsi="Arial"/>
          <w:sz w:val="22"/>
          <w:szCs w:val="22"/>
        </w:rPr>
        <w:t xml:space="preserve">All Python outputs exported as CSV for Tableau ingestion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4CAF50" w:sz="12"/>
              <w:bottom w:val="none" w:sz="0"/>
              <w:right w:val="none" w:sz="0"/>
            </w:tcBorders>
            <w:shd w:fill="F2F2F2" w:val="clear"/>
            <w:tcMar>
              <w:top w:type="dxa" w:w="120"/>
              <w:left w:type="dxa" w:w="200"/>
              <w:bottom w:type="dxa" w:w="120"/>
              <w:right w:type="dxa" w:w="120"/>
            </w:tcMar>
          </w:tcPr>
          <w:p>
            <w:pPr>
              <w:spacing w:after="40"/>
            </w:pPr>
            <w:r>
              <w:rPr>
                <w:rFonts w:ascii="Arial" w:cs="Arial" w:eastAsia="Arial" w:hAnsi="Arial"/>
                <w:b/>
                <w:bCs/>
                <w:color w:val="4CAF50"/>
                <w:sz w:val="28"/>
                <w:szCs w:val="28"/>
              </w:rPr>
              <w:t xml:space="preserve">WEEK 3</w:t>
            </w:r>
          </w:p>
          <w:p>
            <w:r>
              <w:rPr>
                <w:rFonts w:ascii="Arial" w:cs="Arial" w:eastAsia="Arial" w:hAnsi="Arial"/>
                <w:color w:val="444444"/>
                <w:sz w:val="22"/>
                <w:szCs w:val="22"/>
              </w:rPr>
              <w:t xml:space="preserve">Visual Storytelling — Tableau Dashboard</w:t>
            </w:r>
          </w:p>
        </w:tc>
      </w:tr>
    </w:tbl>
    <w:p>
      <w:pPr>
        <w:spacing w:after="150"/>
      </w:pPr>
    </w:p>
    <w:p>
      <w:pPr>
        <w:pStyle w:val="Heading1"/>
      </w:pPr>
      <w:r>
        <w:t xml:space="preserve">Week 3: Visual Storytelling in Tableau</w:t>
      </w:r>
    </w:p>
    <w:p>
      <w:pPr>
        <w:spacing w:after="160"/>
      </w:pPr>
      <w:r>
        <w:t xml:space="preserve">The math is done. Now you need to make it understandable to non-technical executives. This week transforms your Python outputs into an interactive decision-support tool.</w:t>
      </w:r>
    </w:p>
    <w:p>
      <w:pPr>
        <w:pStyle w:val="Heading2"/>
      </w:pPr>
      <w:r>
        <w:t xml:space="preserve">Step 11: Connect Tableau to Python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80"/>
            </w:pPr>
            <w:r>
              <w:rPr>
                <w:rFonts w:ascii="Arial" w:cs="Arial" w:eastAsia="Arial" w:hAnsi="Arial"/>
                <w:b/>
                <w:bCs/>
                <w:color w:val="4CAF50"/>
                <w:sz w:val="22"/>
                <w:szCs w:val="22"/>
              </w:rPr>
              <w:t xml:space="preserve">●  Decouple Compute from Visualization</w:t>
            </w:r>
          </w:p>
          <w:p>
            <w:pPr>
              <w:spacing w:after="60"/>
            </w:pPr>
            <w:r>
              <w:rPr>
                <w:rFonts w:ascii="Arial" w:cs="Arial" w:eastAsia="Arial" w:hAnsi="Arial"/>
                <w:b/>
                <w:bCs/>
                <w:color w:val="555555"/>
                <w:sz w:val="20"/>
                <w:szCs w:val="20"/>
              </w:rPr>
              <w:t xml:space="preserve">Thinking: </w:t>
            </w:r>
            <w:r>
              <w:rPr>
                <w:rFonts w:ascii="Arial" w:cs="Arial" w:eastAsia="Arial" w:hAnsi="Arial"/>
                <w:color w:val="555555"/>
                <w:sz w:val="20"/>
                <w:szCs w:val="20"/>
              </w:rPr>
              <w:t xml:space="preserve">Python excels at heavy mathematical computation. Tableau excels at interactive visual exploration. By exporting pre-computed results as CSV files, each tool does what it is best at.</w:t>
            </w:r>
          </w:p>
          <w:p>
            <w:r>
              <w:rPr>
                <w:rFonts w:ascii="Arial" w:cs="Arial" w:eastAsia="Arial" w:hAnsi="Arial"/>
                <w:b/>
                <w:bCs/>
                <w:color w:val="E07050"/>
                <w:sz w:val="20"/>
                <w:szCs w:val="20"/>
              </w:rPr>
              <w:t xml:space="preserve">Why it matters: </w:t>
            </w:r>
            <w:r>
              <w:rPr>
                <w:rFonts w:ascii="Arial" w:cs="Arial" w:eastAsia="Arial" w:hAnsi="Arial"/>
                <w:color w:val="555555"/>
                <w:sz w:val="20"/>
                <w:szCs w:val="20"/>
              </w:rPr>
              <w:t xml:space="preserve">In production environments, the analytics pipeline and the visualization layer are always separate services. Coupling them creates brittle systems. Export clean, well-labelled CSVs: one for daily prices and returns, one for rolling volatility, one for Monte Carlo simulation results, one for the correlation matrix.</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sz w:val="18"/>
                <w:szCs w:val="18"/>
              </w:rPr>
              <w:t xml:space="preserve"># Export key datasets for Tableau</w:t>
            </w:r>
          </w:p>
          <w:p>
            <w:pPr>
              <w:spacing w:after="20"/>
            </w:pPr>
            <w:r>
              <w:rPr>
                <w:rFonts w:ascii="Courier New" w:cs="Courier New" w:eastAsia="Courier New" w:hAnsi="Courier New"/>
                <w:sz w:val="18"/>
                <w:szCs w:val="18"/>
              </w:rPr>
              <w:t xml:space="preserve">prices.to_csv('prices_clean.csv')</w:t>
            </w:r>
          </w:p>
          <w:p>
            <w:pPr>
              <w:spacing w:after="20"/>
            </w:pPr>
            <w:r>
              <w:rPr>
                <w:rFonts w:ascii="Courier New" w:cs="Courier New" w:eastAsia="Courier New" w:hAnsi="Courier New"/>
                <w:sz w:val="18"/>
                <w:szCs w:val="18"/>
              </w:rPr>
              <w:t xml:space="preserve">log_returns.to_csv('log_returns.csv')</w:t>
            </w:r>
          </w:p>
          <w:p>
            <w:pPr>
              <w:spacing w:after="20"/>
            </w:pPr>
            <w:r>
              <w:rPr>
                <w:rFonts w:ascii="Courier New" w:cs="Courier New" w:eastAsia="Courier New" w:hAnsi="Courier New"/>
                <w:sz w:val="18"/>
                <w:szCs w:val="18"/>
              </w:rPr>
              <w:t xml:space="preserve">rolling_vol.to_csv('rolling_volatility.csv')</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Monte Carlo distribution</w:t>
            </w:r>
          </w:p>
          <w:p>
            <w:pPr>
              <w:spacing w:after="20"/>
            </w:pPr>
            <w:r>
              <w:rPr>
                <w:rFonts w:ascii="Courier New" w:cs="Courier New" w:eastAsia="Courier New" w:hAnsi="Courier New"/>
                <w:sz w:val="18"/>
                <w:szCs w:val="18"/>
              </w:rPr>
              <w:t xml:space="preserve">mc_df = pd.DataFrame({'final_value': portfolio_end_values})</w:t>
            </w:r>
          </w:p>
          <w:p>
            <w:pPr>
              <w:spacing w:after="20"/>
            </w:pPr>
            <w:r>
              <w:rPr>
                <w:rFonts w:ascii="Courier New" w:cs="Courier New" w:eastAsia="Courier New" w:hAnsi="Courier New"/>
                <w:sz w:val="18"/>
                <w:szCs w:val="18"/>
              </w:rPr>
              <w:t xml:space="preserve">mc_df.to_csv('monte_carlo_results.csv', index=False)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Correlation matrix</w:t>
            </w:r>
          </w:p>
          <w:p>
            <w:pPr>
              <w:spacing w:after="20"/>
            </w:pPr>
            <w:r>
              <w:rPr>
                <w:rFonts w:ascii="Courier New" w:cs="Courier New" w:eastAsia="Courier New" w:hAnsi="Courier New"/>
                <w:sz w:val="18"/>
                <w:szCs w:val="18"/>
              </w:rPr>
              <w:t xml:space="preserve">corr_matrix = log_returns.corr()</w:t>
            </w:r>
          </w:p>
          <w:p>
            <w:pPr>
              <w:spacing w:after="20"/>
            </w:pPr>
            <w:r>
              <w:rPr>
                <w:rFonts w:ascii="Courier New" w:cs="Courier New" w:eastAsia="Courier New" w:hAnsi="Courier New"/>
                <w:sz w:val="18"/>
                <w:szCs w:val="18"/>
              </w:rPr>
              <w:t xml:space="preserve">corr_matrix.to_csv('correlation_matrix.csv')</w:t>
            </w:r>
          </w:p>
        </w:tc>
      </w:tr>
    </w:tbl>
    <w:p>
      <w:pPr>
        <w:spacing w:after="100"/>
      </w:pPr>
    </w:p>
    <w:p>
      <w:pPr>
        <w:pStyle w:val="Heading2"/>
      </w:pPr>
      <w:r>
        <w:t xml:space="preserve">Step 12: Build What-If Scenario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80"/>
            </w:pPr>
            <w:r>
              <w:rPr>
                <w:rFonts w:ascii="Arial" w:cs="Arial" w:eastAsia="Arial" w:hAnsi="Arial"/>
                <w:b/>
                <w:bCs/>
                <w:color w:val="4CAF50"/>
                <w:sz w:val="22"/>
                <w:szCs w:val="22"/>
              </w:rPr>
              <w:t xml:space="preserve">●  Why What-If Parameters Are the Most Impressive Deliverable</w:t>
            </w:r>
          </w:p>
          <w:p>
            <w:pPr>
              <w:spacing w:after="60"/>
            </w:pPr>
            <w:r>
              <w:rPr>
                <w:rFonts w:ascii="Arial" w:cs="Arial" w:eastAsia="Arial" w:hAnsi="Arial"/>
                <w:b/>
                <w:bCs/>
                <w:color w:val="555555"/>
                <w:sz w:val="20"/>
                <w:szCs w:val="20"/>
              </w:rPr>
              <w:t xml:space="preserve">Thinking: </w:t>
            </w:r>
            <w:r>
              <w:rPr>
                <w:rFonts w:ascii="Arial" w:cs="Arial" w:eastAsia="Arial" w:hAnsi="Arial"/>
                <w:color w:val="555555"/>
                <w:sz w:val="20"/>
                <w:szCs w:val="20"/>
              </w:rPr>
              <w:t xml:space="preserve">A static dashboard shows what happened. An interactive What-If dashboard shows what could happen. Create Tableau parameters that let users ask questions like: if Technology drops 10%, how does my total portfolio look?</w:t>
            </w:r>
          </w:p>
          <w:p>
            <w:r>
              <w:rPr>
                <w:rFonts w:ascii="Arial" w:cs="Arial" w:eastAsia="Arial" w:hAnsi="Arial"/>
                <w:b/>
                <w:bCs/>
                <w:color w:val="E07050"/>
                <w:sz w:val="20"/>
                <w:szCs w:val="20"/>
              </w:rPr>
              <w:t xml:space="preserve">Why it matters: </w:t>
            </w:r>
            <w:r>
              <w:rPr>
                <w:rFonts w:ascii="Arial" w:cs="Arial" w:eastAsia="Arial" w:hAnsi="Arial"/>
                <w:color w:val="555555"/>
                <w:sz w:val="20"/>
                <w:szCs w:val="20"/>
              </w:rPr>
              <w:t xml:space="preserve">This transforms your analysis from a report into a decision-support tool. An executive can sit in front of it and simulate scenarios before making allocation decisions. This is the difference between descriptive analytics (backward-looking) and prescriptive analytics (forward-looking). Prescriptive is what gets you hired.</w:t>
            </w:r>
          </w:p>
        </w:tc>
      </w:tr>
    </w:tbl>
    <w:p>
      <w:pPr>
        <w:spacing w:after="80"/>
      </w:pPr>
    </w:p>
    <w:p>
      <w:pPr>
        <w:spacing w:after="160"/>
      </w:pPr>
      <w:r>
        <w:t xml:space="preserve">In Tableau, create the following parameter controls:</w:t>
      </w:r>
    </w:p>
    <w:p>
      <w:pPr>
        <w:pStyle w:val="ListParagraph"/>
        <w:numPr>
          <w:ilvl w:val="0"/>
          <w:numId w:val="2"/>
        </w:numPr>
        <w:spacing w:after="60"/>
      </w:pPr>
      <w:r>
        <w:rPr>
          <w:rFonts w:ascii="Arial" w:cs="Arial" w:eastAsia="Arial" w:hAnsi="Arial"/>
          <w:sz w:val="22"/>
          <w:szCs w:val="22"/>
        </w:rPr>
        <w:t xml:space="preserve">Sector Shock Parameter: A slider from -30% to +30% applied to a specific sector</w:t>
      </w:r>
    </w:p>
    <w:p>
      <w:pPr>
        <w:pStyle w:val="ListParagraph"/>
        <w:numPr>
          <w:ilvl w:val="0"/>
          <w:numId w:val="2"/>
        </w:numPr>
        <w:spacing w:after="60"/>
      </w:pPr>
      <w:r>
        <w:rPr>
          <w:rFonts w:ascii="Arial" w:cs="Arial" w:eastAsia="Arial" w:hAnsi="Arial"/>
          <w:sz w:val="22"/>
          <w:szCs w:val="22"/>
        </w:rPr>
        <w:t xml:space="preserve">Weight Adjustor: Let users change the portfolio allocation dynamically</w:t>
      </w:r>
    </w:p>
    <w:p>
      <w:pPr>
        <w:pStyle w:val="ListParagraph"/>
        <w:numPr>
          <w:ilvl w:val="0"/>
          <w:numId w:val="2"/>
        </w:numPr>
        <w:spacing w:after="120"/>
      </w:pPr>
      <w:r>
        <w:rPr>
          <w:rFonts w:ascii="Arial" w:cs="Arial" w:eastAsia="Arial" w:hAnsi="Arial"/>
          <w:sz w:val="22"/>
          <w:szCs w:val="22"/>
        </w:rPr>
        <w:t xml:space="preserve">Time Horizon Selector: Switch between 1-month, 6-month, 1-year views</w:t>
      </w:r>
    </w:p>
    <w:p>
      <w:pPr>
        <w:spacing w:after="100"/>
      </w:pPr>
    </w:p>
    <w:p>
      <w:pPr>
        <w:pStyle w:val="Heading2"/>
      </w:pPr>
      <w:r>
        <w:t xml:space="preserve">Step 13: Correlation Heatmap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80"/>
            </w:pPr>
            <w:r>
              <w:rPr>
                <w:rFonts w:ascii="Arial" w:cs="Arial" w:eastAsia="Arial" w:hAnsi="Arial"/>
                <w:b/>
                <w:bCs/>
                <w:color w:val="4CAF50"/>
                <w:sz w:val="22"/>
                <w:szCs w:val="22"/>
              </w:rPr>
              <w:t xml:space="preserve">●  The Heatmap as a Diversification Scorecard</w:t>
            </w:r>
          </w:p>
          <w:p>
            <w:pPr>
              <w:spacing w:after="60"/>
            </w:pPr>
            <w:r>
              <w:rPr>
                <w:rFonts w:ascii="Arial" w:cs="Arial" w:eastAsia="Arial" w:hAnsi="Arial"/>
                <w:b/>
                <w:bCs/>
                <w:color w:val="555555"/>
                <w:sz w:val="20"/>
                <w:szCs w:val="20"/>
              </w:rPr>
              <w:t xml:space="preserve">Thinking: </w:t>
            </w:r>
            <w:r>
              <w:rPr>
                <w:rFonts w:ascii="Arial" w:cs="Arial" w:eastAsia="Arial" w:hAnsi="Arial"/>
                <w:color w:val="555555"/>
                <w:sz w:val="20"/>
                <w:szCs w:val="20"/>
              </w:rPr>
              <w:t xml:space="preserve">A correlation heatmap is a matrix visualization coloured from deep blue (negatively correlated) to deep red (positively correlated). At a glance, it answers: are our assets actually diversified?</w:t>
            </w:r>
          </w:p>
          <w:p>
            <w:r>
              <w:rPr>
                <w:rFonts w:ascii="Arial" w:cs="Arial" w:eastAsia="Arial" w:hAnsi="Arial"/>
                <w:b/>
                <w:bCs/>
                <w:color w:val="E07050"/>
                <w:sz w:val="20"/>
                <w:szCs w:val="20"/>
              </w:rPr>
              <w:t xml:space="preserve">Why it matters: </w:t>
            </w:r>
            <w:r>
              <w:rPr>
                <w:rFonts w:ascii="Arial" w:cs="Arial" w:eastAsia="Arial" w:hAnsi="Arial"/>
                <w:color w:val="555555"/>
                <w:sz w:val="20"/>
                <w:szCs w:val="20"/>
              </w:rPr>
              <w:t xml:space="preserve">If every cell is red, the portfolio has hidden concentrated risk — all assets move together and diversification is an illusion. Executives need this visual to make allocation decisions. In Tableau, connect to the correlation matrix CSV and use a cross-tab with colour encoding.</w:t>
            </w:r>
          </w:p>
        </w:tc>
      </w:tr>
    </w:tbl>
    <w:p>
      <w:pPr>
        <w:spacing w:after="100"/>
      </w:pPr>
    </w:p>
    <w:p>
      <w:pPr>
        <w:pStyle w:val="Heading2"/>
      </w:pPr>
      <w:r>
        <w:t xml:space="preserve">Step 14: Build the Full Dashboard Layout</w:t>
      </w:r>
    </w:p>
    <w:p>
      <w:pPr>
        <w:spacing w:after="160"/>
      </w:pPr>
      <w:r>
        <w:t xml:space="preserve">Your Tableau dashboard should contain these views arranged in a logical visual hierarchy:</w:t>
      </w:r>
    </w:p>
    <w:p>
      <w:pPr>
        <w:pStyle w:val="ListParagraph"/>
        <w:numPr>
          <w:ilvl w:val="0"/>
          <w:numId w:val="3"/>
        </w:numPr>
        <w:spacing w:after="80"/>
      </w:pPr>
      <w:r>
        <w:rPr>
          <w:rFonts w:ascii="Arial" w:cs="Arial" w:eastAsia="Arial" w:hAnsi="Arial"/>
          <w:sz w:val="22"/>
          <w:szCs w:val="22"/>
        </w:rPr>
        <w:t xml:space="preserve">KPI cards at top: Portfolio VaR, Sharpe Ratio, Current Rolling Volatility, Max Drawdown</w:t>
      </w:r>
    </w:p>
    <w:p>
      <w:pPr>
        <w:pStyle w:val="ListParagraph"/>
        <w:numPr>
          <w:ilvl w:val="0"/>
          <w:numId w:val="3"/>
        </w:numPr>
        <w:spacing w:after="80"/>
      </w:pPr>
      <w:r>
        <w:rPr>
          <w:rFonts w:ascii="Arial" w:cs="Arial" w:eastAsia="Arial" w:hAnsi="Arial"/>
          <w:sz w:val="22"/>
          <w:szCs w:val="22"/>
        </w:rPr>
        <w:t xml:space="preserve">Monte Carlo distribution histogram: The probability fan of where the portfolio could end up</w:t>
      </w:r>
    </w:p>
    <w:p>
      <w:pPr>
        <w:pStyle w:val="ListParagraph"/>
        <w:numPr>
          <w:ilvl w:val="0"/>
          <w:numId w:val="3"/>
        </w:numPr>
        <w:spacing w:after="80"/>
      </w:pPr>
      <w:r>
        <w:rPr>
          <w:rFonts w:ascii="Arial" w:cs="Arial" w:eastAsia="Arial" w:hAnsi="Arial"/>
          <w:sz w:val="22"/>
          <w:szCs w:val="22"/>
        </w:rPr>
        <w:t xml:space="preserve">Rolling volatility line chart: Time-series showing risk trajectory per asset</w:t>
      </w:r>
    </w:p>
    <w:p>
      <w:pPr>
        <w:pStyle w:val="ListParagraph"/>
        <w:numPr>
          <w:ilvl w:val="0"/>
          <w:numId w:val="3"/>
        </w:numPr>
        <w:spacing w:after="80"/>
      </w:pPr>
      <w:r>
        <w:rPr>
          <w:rFonts w:ascii="Arial" w:cs="Arial" w:eastAsia="Arial" w:hAnsi="Arial"/>
          <w:sz w:val="22"/>
          <w:szCs w:val="22"/>
        </w:rPr>
        <w:t xml:space="preserve">Correlation heatmap: The diversification scorecard</w:t>
      </w:r>
    </w:p>
    <w:p>
      <w:pPr>
        <w:pStyle w:val="ListParagraph"/>
        <w:numPr>
          <w:ilvl w:val="0"/>
          <w:numId w:val="3"/>
        </w:numPr>
        <w:spacing w:after="120"/>
      </w:pPr>
      <w:r>
        <w:rPr>
          <w:rFonts w:ascii="Arial" w:cs="Arial" w:eastAsia="Arial" w:hAnsi="Arial"/>
          <w:sz w:val="22"/>
          <w:szCs w:val="22"/>
        </w:rPr>
        <w:t xml:space="preserve">What-If parameter panel: Interactive scenario controls on the right side</w:t>
      </w:r>
    </w:p>
    <w:p>
      <w:pPr>
        <w:spacing w:after="100"/>
      </w:pPr>
    </w:p>
    <w:p>
      <w:pPr>
        <w:pStyle w:val="Heading3"/>
      </w:pPr>
      <w:r>
        <w:t xml:space="preserve">Week 3 Checklist</w:t>
      </w:r>
    </w:p>
    <w:p>
      <w:pPr>
        <w:spacing w:after="100"/>
        <w:ind w:left="360"/>
      </w:pPr>
      <w:r>
        <w:rPr>
          <w:rFonts w:ascii="Segoe UI Symbol" w:cs="Segoe UI Symbol" w:eastAsia="Segoe UI Symbol" w:hAnsi="Segoe UI Symbol"/>
          <w:sz w:val="24"/>
          <w:szCs w:val="24"/>
        </w:rPr>
        <w:t xml:space="preserve">☐  </w:t>
      </w:r>
      <w:r>
        <w:rPr>
          <w:rFonts w:ascii="Arial" w:cs="Arial" w:eastAsia="Arial" w:hAnsi="Arial"/>
          <w:sz w:val="22"/>
          <w:szCs w:val="22"/>
        </w:rPr>
        <w:t xml:space="preserve">All CSV exports imported into Tableau successfully</w:t>
      </w:r>
    </w:p>
    <w:p>
      <w:pPr>
        <w:spacing w:after="100"/>
        <w:ind w:left="360"/>
      </w:pPr>
      <w:r>
        <w:rPr>
          <w:rFonts w:ascii="Segoe UI Symbol" w:cs="Segoe UI Symbol" w:eastAsia="Segoe UI Symbol" w:hAnsi="Segoe UI Symbol"/>
          <w:sz w:val="24"/>
          <w:szCs w:val="24"/>
        </w:rPr>
        <w:t xml:space="preserve">☐  </w:t>
      </w:r>
      <w:r>
        <w:rPr>
          <w:rFonts w:ascii="Arial" w:cs="Arial" w:eastAsia="Arial" w:hAnsi="Arial"/>
          <w:sz w:val="22"/>
          <w:szCs w:val="22"/>
        </w:rPr>
        <w:t xml:space="preserve">What-If parameters created and linked to calculated fields</w:t>
      </w:r>
    </w:p>
    <w:p>
      <w:pPr>
        <w:spacing w:after="100"/>
        <w:ind w:left="360"/>
      </w:pPr>
      <w:r>
        <w:rPr>
          <w:rFonts w:ascii="Segoe UI Symbol" w:cs="Segoe UI Symbol" w:eastAsia="Segoe UI Symbol" w:hAnsi="Segoe UI Symbol"/>
          <w:sz w:val="24"/>
          <w:szCs w:val="24"/>
        </w:rPr>
        <w:t xml:space="preserve">☐  </w:t>
      </w:r>
      <w:r>
        <w:rPr>
          <w:rFonts w:ascii="Arial" w:cs="Arial" w:eastAsia="Arial" w:hAnsi="Arial"/>
          <w:sz w:val="22"/>
          <w:szCs w:val="22"/>
        </w:rPr>
        <w:t xml:space="preserve">Correlation heatmap built with intuitive colour encoding</w:t>
      </w:r>
    </w:p>
    <w:p>
      <w:pPr>
        <w:spacing w:after="100"/>
        <w:ind w:left="360"/>
      </w:pPr>
      <w:r>
        <w:rPr>
          <w:rFonts w:ascii="Segoe UI Symbol" w:cs="Segoe UI Symbol" w:eastAsia="Segoe UI Symbol" w:hAnsi="Segoe UI Symbol"/>
          <w:sz w:val="24"/>
          <w:szCs w:val="24"/>
        </w:rPr>
        <w:t xml:space="preserve">☐  </w:t>
      </w:r>
      <w:r>
        <w:rPr>
          <w:rFonts w:ascii="Arial" w:cs="Arial" w:eastAsia="Arial" w:hAnsi="Arial"/>
          <w:sz w:val="22"/>
          <w:szCs w:val="22"/>
        </w:rPr>
        <w:t xml:space="preserve">Monte Carlo distribution visualized as histogram</w:t>
      </w:r>
    </w:p>
    <w:p>
      <w:pPr>
        <w:spacing w:after="100"/>
        <w:ind w:left="360"/>
      </w:pPr>
      <w:r>
        <w:rPr>
          <w:rFonts w:ascii="Segoe UI Symbol" w:cs="Segoe UI Symbol" w:eastAsia="Segoe UI Symbol" w:hAnsi="Segoe UI Symbol"/>
          <w:sz w:val="24"/>
          <w:szCs w:val="24"/>
        </w:rPr>
        <w:t xml:space="preserve">☐  </w:t>
      </w:r>
      <w:r>
        <w:rPr>
          <w:rFonts w:ascii="Arial" w:cs="Arial" w:eastAsia="Arial" w:hAnsi="Arial"/>
          <w:sz w:val="22"/>
          <w:szCs w:val="22"/>
        </w:rPr>
        <w:t xml:space="preserve">Rolling volatility chart showing per-asset risk trajectory</w:t>
      </w:r>
    </w:p>
    <w:p>
      <w:pPr>
        <w:spacing w:after="100"/>
        <w:ind w:left="360"/>
      </w:pPr>
      <w:r>
        <w:rPr>
          <w:rFonts w:ascii="Segoe UI Symbol" w:cs="Segoe UI Symbol" w:eastAsia="Segoe UI Symbol" w:hAnsi="Segoe UI Symbol"/>
          <w:sz w:val="24"/>
          <w:szCs w:val="24"/>
        </w:rPr>
        <w:t xml:space="preserve">☐  </w:t>
      </w:r>
      <w:r>
        <w:rPr>
          <w:rFonts w:ascii="Arial" w:cs="Arial" w:eastAsia="Arial" w:hAnsi="Arial"/>
          <w:sz w:val="22"/>
          <w:szCs w:val="22"/>
        </w:rPr>
        <w:t xml:space="preserve">Dashboard layout follows visual hierarchy (KPIs at top)</w:t>
      </w:r>
    </w:p>
    <w:p>
      <w:pPr>
        <w:spacing w:after="100"/>
        <w:ind w:left="360"/>
      </w:pPr>
      <w:r>
        <w:rPr>
          <w:rFonts w:ascii="Segoe UI Symbol" w:cs="Segoe UI Symbol" w:eastAsia="Segoe UI Symbol" w:hAnsi="Segoe UI Symbol"/>
          <w:sz w:val="24"/>
          <w:szCs w:val="24"/>
        </w:rPr>
        <w:t xml:space="preserve">☐  </w:t>
      </w:r>
      <w:r>
        <w:rPr>
          <w:rFonts w:ascii="Arial" w:cs="Arial" w:eastAsia="Arial" w:hAnsi="Arial"/>
          <w:sz w:val="22"/>
          <w:szCs w:val="22"/>
        </w:rPr>
        <w:t xml:space="preserve">Interactivity check: parameter changes update all views seamlessly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910A" w:sz="12"/>
              <w:bottom w:val="none" w:sz="0"/>
              <w:right w:val="none" w:sz="0"/>
            </w:tcBorders>
            <w:shd w:fill="F2F2F2" w:val="clear"/>
            <w:tcMar>
              <w:top w:type="dxa" w:w="120"/>
              <w:left w:type="dxa" w:w="200"/>
              <w:bottom w:type="dxa" w:w="120"/>
              <w:right w:type="dxa" w:w="120"/>
            </w:tcMar>
          </w:tcPr>
          <w:p>
            <w:pPr>
              <w:spacing w:after="40"/>
            </w:pPr>
            <w:r>
              <w:rPr>
                <w:rFonts w:ascii="Arial" w:cs="Arial" w:eastAsia="Arial" w:hAnsi="Arial"/>
                <w:b/>
                <w:bCs/>
                <w:color w:val="D4910A"/>
                <w:sz w:val="28"/>
                <w:szCs w:val="28"/>
              </w:rPr>
              <w:t xml:space="preserve">WEEK 4</w:t>
            </w:r>
          </w:p>
          <w:p>
            <w:r>
              <w:rPr>
                <w:rFonts w:ascii="Arial" w:cs="Arial" w:eastAsia="Arial" w:hAnsi="Arial"/>
                <w:color w:val="444444"/>
                <w:sz w:val="22"/>
                <w:szCs w:val="22"/>
              </w:rPr>
              <w:t xml:space="preserve">Deployment &amp; Documentation — The Final Delivery</w:t>
            </w:r>
          </w:p>
        </w:tc>
      </w:tr>
    </w:tbl>
    <w:p>
      <w:pPr>
        <w:spacing w:after="150"/>
      </w:pPr>
    </w:p>
    <w:p>
      <w:pPr>
        <w:pStyle w:val="Heading1"/>
      </w:pPr>
      <w:r>
        <w:t xml:space="preserve">Week 4: Deployment &amp; Documentation</w:t>
      </w:r>
    </w:p>
    <w:p>
      <w:pPr>
        <w:spacing w:after="160"/>
      </w:pPr>
      <w:r>
        <w:t xml:space="preserve">The model works. The dashboard looks great. Now you need to make it production-ready: concise for executives, documented for auditors, and validated by a subject-matter expert.</w:t>
      </w:r>
    </w:p>
    <w:p>
      <w:pPr>
        <w:pStyle w:val="Heading2"/>
      </w:pPr>
      <w:r>
        <w:t xml:space="preserve">Step 15: Executive Summary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80"/>
            </w:pPr>
            <w:r>
              <w:rPr>
                <w:rFonts w:ascii="Arial" w:cs="Arial" w:eastAsia="Arial" w:hAnsi="Arial"/>
                <w:b/>
                <w:bCs/>
                <w:color w:val="D4910A"/>
                <w:sz w:val="22"/>
                <w:szCs w:val="22"/>
              </w:rPr>
              <w:t xml:space="preserve">●  Executives Have 30 Seconds</w:t>
            </w:r>
          </w:p>
          <w:p>
            <w:pPr>
              <w:spacing w:after="60"/>
            </w:pPr>
            <w:r>
              <w:rPr>
                <w:rFonts w:ascii="Arial" w:cs="Arial" w:eastAsia="Arial" w:hAnsi="Arial"/>
                <w:b/>
                <w:bCs/>
                <w:color w:val="555555"/>
                <w:sz w:val="20"/>
                <w:szCs w:val="20"/>
              </w:rPr>
              <w:t xml:space="preserve">Thinking: </w:t>
            </w:r>
            <w:r>
              <w:rPr>
                <w:rFonts w:ascii="Arial" w:cs="Arial" w:eastAsia="Arial" w:hAnsi="Arial"/>
                <w:color w:val="555555"/>
                <w:sz w:val="20"/>
                <w:szCs w:val="20"/>
              </w:rPr>
              <w:t xml:space="preserve">The full analytical dashboard from Week 3 is for analysts. Executives need a stripped-down view showing only 3–4 critical KPIs: VaR, Sharpe Ratio, Current Volatility, and Maximum Drawdown.</w:t>
            </w:r>
          </w:p>
          <w:p>
            <w:r>
              <w:rPr>
                <w:rFonts w:ascii="Arial" w:cs="Arial" w:eastAsia="Arial" w:hAnsi="Arial"/>
                <w:b/>
                <w:bCs/>
                <w:color w:val="E07050"/>
                <w:sz w:val="20"/>
                <w:szCs w:val="20"/>
              </w:rPr>
              <w:t xml:space="preserve">Why it matters: </w:t>
            </w:r>
            <w:r>
              <w:rPr>
                <w:rFonts w:ascii="Arial" w:cs="Arial" w:eastAsia="Arial" w:hAnsi="Arial"/>
                <w:color w:val="555555"/>
                <w:sz w:val="20"/>
                <w:szCs w:val="20"/>
              </w:rPr>
              <w:t xml:space="preserve">A common mistake is showing too much. If a dashboard has 15 charts, the viewer will focus on none of them. The executive summary dashboard should answer one question in under 5 seconds: is our portfolio risk acceptable right now?</w:t>
            </w:r>
          </w:p>
        </w:tc>
      </w:tr>
    </w:tbl>
    <w:p>
      <w:pPr>
        <w:spacing w:after="100"/>
      </w:pPr>
    </w:p>
    <w:p>
      <w:pPr>
        <w:pStyle w:val="Heading2"/>
      </w:pPr>
      <w:r>
        <w:t xml:space="preserve">Step 16: Document Every Assumption</w:t>
      </w:r>
    </w:p>
    <w:p>
      <w:pPr>
        <w:spacing w:after="160"/>
      </w:pPr>
      <w:r>
        <w:t xml:space="preserve">Your methodology documentation must explicitly state every assumption your model relies on:</w:t>
      </w:r>
    </w:p>
    <w:p>
      <w:pPr>
        <w:pStyle w:val="ListParagraph"/>
        <w:numPr>
          <w:ilvl w:val="0"/>
          <w:numId w:val="2"/>
        </w:numPr>
        <w:spacing w:after="60"/>
      </w:pPr>
      <w:r>
        <w:rPr>
          <w:rFonts w:ascii="Arial" w:cs="Arial" w:eastAsia="Arial" w:hAnsi="Arial"/>
          <w:sz w:val="22"/>
          <w:szCs w:val="22"/>
        </w:rPr>
        <w:t xml:space="preserve">Returns are normally distributed (reality: markets have fat tails, meaning extreme events happen more often than normal distribution predicts)</w:t>
      </w:r>
    </w:p>
    <w:p>
      <w:pPr>
        <w:pStyle w:val="ListParagraph"/>
        <w:numPr>
          <w:ilvl w:val="0"/>
          <w:numId w:val="2"/>
        </w:numPr>
        <w:spacing w:after="60"/>
      </w:pPr>
      <w:r>
        <w:rPr>
          <w:rFonts w:ascii="Arial" w:cs="Arial" w:eastAsia="Arial" w:hAnsi="Arial"/>
          <w:sz w:val="22"/>
          <w:szCs w:val="22"/>
        </w:rPr>
        <w:t xml:space="preserve">Historical correlations persist into the future (reality: correlations spike during crises, exactly when diversification matters most)</w:t>
      </w:r>
    </w:p>
    <w:p>
      <w:pPr>
        <w:pStyle w:val="ListParagraph"/>
        <w:numPr>
          <w:ilvl w:val="0"/>
          <w:numId w:val="2"/>
        </w:numPr>
        <w:spacing w:after="60"/>
      </w:pPr>
      <w:r>
        <w:rPr>
          <w:rFonts w:ascii="Arial" w:cs="Arial" w:eastAsia="Arial" w:hAnsi="Arial"/>
          <w:sz w:val="22"/>
          <w:szCs w:val="22"/>
        </w:rPr>
        <w:t xml:space="preserve">No transaction costs or slippage (reality: every trade has a cost)</w:t>
      </w:r>
    </w:p>
    <w:p>
      <w:pPr>
        <w:pStyle w:val="ListParagraph"/>
        <w:numPr>
          <w:ilvl w:val="0"/>
          <w:numId w:val="2"/>
        </w:numPr>
        <w:spacing w:after="120"/>
      </w:pPr>
      <w:r>
        <w:rPr>
          <w:rFonts w:ascii="Arial" w:cs="Arial" w:eastAsia="Arial" w:hAnsi="Arial"/>
          <w:sz w:val="22"/>
          <w:szCs w:val="22"/>
        </w:rPr>
        <w:t xml:space="preserve">Equal portfolio weights (reality: optimal weights require mean-variance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80"/>
            </w:pPr>
            <w:r>
              <w:rPr>
                <w:rFonts w:ascii="Arial" w:cs="Arial" w:eastAsia="Arial" w:hAnsi="Arial"/>
                <w:b/>
                <w:bCs/>
                <w:color w:val="D4910A"/>
                <w:sz w:val="22"/>
                <w:szCs w:val="22"/>
              </w:rPr>
              <w:t xml:space="preserve">●  Why Document Limitations?</w:t>
            </w:r>
          </w:p>
          <w:p>
            <w:pPr>
              <w:spacing w:after="60"/>
            </w:pPr>
            <w:r>
              <w:rPr>
                <w:rFonts w:ascii="Arial" w:cs="Arial" w:eastAsia="Arial" w:hAnsi="Arial"/>
                <w:b/>
                <w:bCs/>
                <w:color w:val="555555"/>
                <w:sz w:val="20"/>
                <w:szCs w:val="20"/>
              </w:rPr>
              <w:t xml:space="preserve">Thinking: </w:t>
            </w:r>
            <w:r>
              <w:rPr>
                <w:rFonts w:ascii="Arial" w:cs="Arial" w:eastAsia="Arial" w:hAnsi="Arial"/>
                <w:color w:val="555555"/>
                <w:sz w:val="20"/>
                <w:szCs w:val="20"/>
              </w:rPr>
              <w:t xml:space="preserve">Every financial model is wrong. The value is in knowing how it is wrong. Documenting assumptions tells the reader exactly when to be sceptical of the output.</w:t>
            </w:r>
          </w:p>
          <w:p>
            <w:r>
              <w:rPr>
                <w:rFonts w:ascii="Arial" w:cs="Arial" w:eastAsia="Arial" w:hAnsi="Arial"/>
                <w:b/>
                <w:bCs/>
                <w:color w:val="E07050"/>
                <w:sz w:val="20"/>
                <w:szCs w:val="20"/>
              </w:rPr>
              <w:t xml:space="preserve">Why it matters: </w:t>
            </w:r>
            <w:r>
              <w:rPr>
                <w:rFonts w:ascii="Arial" w:cs="Arial" w:eastAsia="Arial" w:hAnsi="Arial"/>
                <w:color w:val="555555"/>
                <w:sz w:val="20"/>
                <w:szCs w:val="20"/>
              </w:rPr>
              <w:t xml:space="preserve">A model without documented assumptions is dangerous. If your VaR says maximum loss is 15% but the portfolio actually lost 30% in a single quarter historically, the normal distribution assumption is to blame (it misses fat-tailed events). Saying this out loud shows intellectual maturity and is exactly what interview panels want to hear.</w:t>
            </w:r>
          </w:p>
        </w:tc>
      </w:tr>
    </w:tbl>
    <w:p>
      <w:pPr>
        <w:spacing w:after="100"/>
      </w:pPr>
    </w:p>
    <w:p>
      <w:pPr>
        <w:pStyle w:val="Heading2"/>
      </w:pPr>
      <w:r>
        <w:t xml:space="preserve">Step 17: SME Validation</w:t>
      </w:r>
    </w:p>
    <w:p>
      <w:pPr>
        <w:spacing w:after="160"/>
      </w:pPr>
      <w:r>
        <w:t xml:space="preserve">Have a finance-savvy peer or mentor sanity-check your outputs. Key validation questions:</w:t>
      </w:r>
    </w:p>
    <w:p>
      <w:pPr>
        <w:pStyle w:val="ListParagraph"/>
        <w:numPr>
          <w:ilvl w:val="0"/>
          <w:numId w:val="2"/>
        </w:numPr>
        <w:spacing w:after="60"/>
      </w:pPr>
      <w:r>
        <w:rPr>
          <w:rFonts w:ascii="Arial" w:cs="Arial" w:eastAsia="Arial" w:hAnsi="Arial"/>
          <w:sz w:val="22"/>
          <w:szCs w:val="22"/>
        </w:rPr>
        <w:t xml:space="preserve">Does the VaR output make sense given the portfolio composition?</w:t>
      </w:r>
    </w:p>
    <w:p>
      <w:pPr>
        <w:pStyle w:val="ListParagraph"/>
        <w:numPr>
          <w:ilvl w:val="0"/>
          <w:numId w:val="2"/>
        </w:numPr>
        <w:spacing w:after="60"/>
      </w:pPr>
      <w:r>
        <w:rPr>
          <w:rFonts w:ascii="Arial" w:cs="Arial" w:eastAsia="Arial" w:hAnsi="Arial"/>
          <w:sz w:val="22"/>
          <w:szCs w:val="22"/>
        </w:rPr>
        <w:t xml:space="preserve">Does the Sharpe Ratio align with expectations for these asset classes?</w:t>
      </w:r>
    </w:p>
    <w:p>
      <w:pPr>
        <w:pStyle w:val="ListParagraph"/>
        <w:numPr>
          <w:ilvl w:val="0"/>
          <w:numId w:val="2"/>
        </w:numPr>
        <w:spacing w:after="60"/>
      </w:pPr>
      <w:r>
        <w:rPr>
          <w:rFonts w:ascii="Arial" w:cs="Arial" w:eastAsia="Arial" w:hAnsi="Arial"/>
          <w:sz w:val="22"/>
          <w:szCs w:val="22"/>
        </w:rPr>
        <w:t xml:space="preserve">Does the Monte Carlo output distribution align with historical performance?</w:t>
      </w:r>
    </w:p>
    <w:p>
      <w:pPr>
        <w:pStyle w:val="ListParagraph"/>
        <w:numPr>
          <w:ilvl w:val="0"/>
          <w:numId w:val="2"/>
        </w:numPr>
        <w:spacing w:after="120"/>
      </w:pPr>
      <w:r>
        <w:rPr>
          <w:rFonts w:ascii="Arial" w:cs="Arial" w:eastAsia="Arial" w:hAnsi="Arial"/>
          <w:sz w:val="22"/>
          <w:szCs w:val="22"/>
        </w:rPr>
        <w:t xml:space="preserve">Are the correlation values intuitively correct (e.g., AAPL and BTC somewhat correlated, JNJ and XOM less so)?</w:t>
      </w:r>
    </w:p>
    <w:p>
      <w:pPr>
        <w:spacing w:after="100"/>
      </w:pPr>
    </w:p>
    <w:p>
      <w:pPr>
        <w:pStyle w:val="Heading3"/>
      </w:pPr>
      <w:r>
        <w:t xml:space="preserve">Week 4 Checklist</w:t>
      </w:r>
    </w:p>
    <w:p>
      <w:pPr>
        <w:spacing w:after="100"/>
        <w:ind w:left="360"/>
      </w:pPr>
      <w:r>
        <w:rPr>
          <w:rFonts w:ascii="Segoe UI Symbol" w:cs="Segoe UI Symbol" w:eastAsia="Segoe UI Symbol" w:hAnsi="Segoe UI Symbol"/>
          <w:sz w:val="24"/>
          <w:szCs w:val="24"/>
        </w:rPr>
        <w:t xml:space="preserve">☐  </w:t>
      </w:r>
      <w:r>
        <w:rPr>
          <w:rFonts w:ascii="Arial" w:cs="Arial" w:eastAsia="Arial" w:hAnsi="Arial"/>
          <w:sz w:val="22"/>
          <w:szCs w:val="22"/>
        </w:rPr>
        <w:t xml:space="preserve">Executive summary dashboard built (3–4 KPIs only)</w:t>
      </w:r>
    </w:p>
    <w:p>
      <w:pPr>
        <w:spacing w:after="100"/>
        <w:ind w:left="360"/>
      </w:pPr>
      <w:r>
        <w:rPr>
          <w:rFonts w:ascii="Segoe UI Symbol" w:cs="Segoe UI Symbol" w:eastAsia="Segoe UI Symbol" w:hAnsi="Segoe UI Symbol"/>
          <w:sz w:val="24"/>
          <w:szCs w:val="24"/>
        </w:rPr>
        <w:t xml:space="preserve">☐  </w:t>
      </w:r>
      <w:r>
        <w:rPr>
          <w:rFonts w:ascii="Arial" w:cs="Arial" w:eastAsia="Arial" w:hAnsi="Arial"/>
          <w:sz w:val="22"/>
          <w:szCs w:val="22"/>
        </w:rPr>
        <w:t xml:space="preserve">Methodology document written with all assumptions stated</w:t>
      </w:r>
    </w:p>
    <w:p>
      <w:pPr>
        <w:spacing w:after="100"/>
        <w:ind w:left="360"/>
      </w:pPr>
      <w:r>
        <w:rPr>
          <w:rFonts w:ascii="Segoe UI Symbol" w:cs="Segoe UI Symbol" w:eastAsia="Segoe UI Symbol" w:hAnsi="Segoe UI Symbol"/>
          <w:sz w:val="24"/>
          <w:szCs w:val="24"/>
        </w:rPr>
        <w:t xml:space="preserve">☐  </w:t>
      </w:r>
      <w:r>
        <w:rPr>
          <w:rFonts w:ascii="Arial" w:cs="Arial" w:eastAsia="Arial" w:hAnsi="Arial"/>
          <w:sz w:val="22"/>
          <w:szCs w:val="22"/>
        </w:rPr>
        <w:t xml:space="preserve">SME validation complete with feedback incorporated</w:t>
      </w:r>
    </w:p>
    <w:p>
      <w:pPr>
        <w:spacing w:after="100"/>
        <w:ind w:left="360"/>
      </w:pPr>
      <w:r>
        <w:rPr>
          <w:rFonts w:ascii="Segoe UI Symbol" w:cs="Segoe UI Symbol" w:eastAsia="Segoe UI Symbol" w:hAnsi="Segoe UI Symbol"/>
          <w:sz w:val="24"/>
          <w:szCs w:val="24"/>
        </w:rPr>
        <w:t xml:space="preserve">☐  </w:t>
      </w:r>
      <w:r>
        <w:rPr>
          <w:rFonts w:ascii="Arial" w:cs="Arial" w:eastAsia="Arial" w:hAnsi="Arial"/>
          <w:sz w:val="22"/>
          <w:szCs w:val="22"/>
        </w:rPr>
        <w:t xml:space="preserve">All Python scripts cleaned, commented, and committed to GitHub</w:t>
      </w:r>
    </w:p>
    <w:p>
      <w:pPr>
        <w:spacing w:after="100"/>
        <w:ind w:left="360"/>
      </w:pPr>
      <w:r>
        <w:rPr>
          <w:rFonts w:ascii="Segoe UI Symbol" w:cs="Segoe UI Symbol" w:eastAsia="Segoe UI Symbol" w:hAnsi="Segoe UI Symbol"/>
          <w:sz w:val="24"/>
          <w:szCs w:val="24"/>
        </w:rPr>
        <w:t xml:space="preserve">☐  </w:t>
      </w:r>
      <w:r>
        <w:rPr>
          <w:rFonts w:ascii="Arial" w:cs="Arial" w:eastAsia="Arial" w:hAnsi="Arial"/>
          <w:sz w:val="22"/>
          <w:szCs w:val="22"/>
        </w:rPr>
        <w:t xml:space="preserve">All CSV outputs and Tableau workbook packaged for submission</w:t>
      </w:r>
    </w:p>
    <w:p>
      <w:pPr>
        <w:spacing w:after="100"/>
        <w:ind w:left="360"/>
      </w:pPr>
      <w:r>
        <w:rPr>
          <w:rFonts w:ascii="Segoe UI Symbol" w:cs="Segoe UI Symbol" w:eastAsia="Segoe UI Symbol" w:hAnsi="Segoe UI Symbol"/>
          <w:sz w:val="24"/>
          <w:szCs w:val="24"/>
        </w:rPr>
        <w:t xml:space="preserve">☐  </w:t>
      </w:r>
      <w:r>
        <w:rPr>
          <w:rFonts w:ascii="Arial" w:cs="Arial" w:eastAsia="Arial" w:hAnsi="Arial"/>
          <w:sz w:val="22"/>
          <w:szCs w:val="22"/>
        </w:rPr>
        <w:t xml:space="preserve">5-page project report completed</w:t>
      </w:r>
    </w:p>
    <w:p>
      <w:r>
        <w:br w:type="page"/>
      </w:r>
    </w:p>
    <w:p>
      <w:pPr>
        <w:pStyle w:val="Heading1"/>
      </w:pPr>
      <w:r>
        <w:t xml:space="preserve">Quick Reference: Key Formulas</w:t>
      </w:r>
    </w:p>
    <w:p>
      <w:pPr>
        <w:spacing w:after="160"/>
      </w:pPr>
      <w:r>
        <w:t xml:space="preserve">Keep this page bookmarked. These are the formulas you must be able to explain in an interview.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 Return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ln(Pt / Pt-1)</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Additive, symmetric, approximately normal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Portfolio Variance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wᵀ Σ 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matrix operation for multi-asset risk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 (95%)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5th percentile of simulated outcomes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Worst expected loss in 95% of scenarios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Sharpe Ratio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(Rp - Rf) / σp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Reward per unit of risk taken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Rolling Volatility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std(30-day window) × √252</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Time-varying risk indicator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Cholesky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L such that LLᵀ = Σ</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correlated random draws</w:t>
            </w:r>
          </w:p>
        </w:tc>
      </w:tr>
    </w:tbl>
    <w:p>
      <w:pPr>
        <w:spacing w:after="300"/>
      </w:pPr>
    </w:p>
    <w:p>
      <w:pPr>
        <w:pBdr>
          <w:top w:val="single" w:color="E8E8E8" w:sz="2" w:space="1"/>
        </w:pBdr>
        <w:spacing w:after="200" w:before="300"/>
        <w:jc w:val="center"/>
      </w:pPr>
    </w:p>
    <w:p>
      <w:pPr>
        <w:spacing w:after="80"/>
        <w:jc w:val="center"/>
      </w:pPr>
      <w:r>
        <w:rPr>
          <w:rFonts w:ascii="Arial" w:cs="Arial" w:eastAsia="Arial" w:hAnsi="Arial"/>
          <w:i/>
          <w:iCs/>
          <w:color w:val="888888"/>
          <w:sz w:val="22"/>
          <w:szCs w:val="22"/>
        </w:rPr>
        <w:t xml:space="preserve">Transforming Data into Dominion.</w:t>
      </w:r>
    </w:p>
    <w:p>
      <w:pPr>
        <w:jc w:val="center"/>
      </w:pPr>
      <w:r>
        <w:rPr>
          <w:rFonts w:ascii="Arial" w:cs="Arial" w:eastAsia="Arial" w:hAnsi="Arial"/>
          <w:color w:val="AAAAAA"/>
          <w:sz w:val="18"/>
          <w:szCs w:val="18"/>
        </w:rPr>
        <w:t xml:space="preserve">Infotact Solutions — Q4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8E8" w:sz="2" w:space="1"/>
      </w:pBdr>
      <w:tabs>
        <w:tab w:val="right" w:pos="9026"/>
      </w:tabs>
    </w:pPr>
    <w:r>
      <w:rPr>
        <w:rFonts w:ascii="Arial" w:cs="Arial" w:eastAsia="Arial" w:hAnsi="Arial"/>
        <w:color w:val="AAAAAA"/>
        <w:sz w:val="16"/>
        <w:szCs w:val="16"/>
      </w:rPr>
      <w:t xml:space="preserve">AlphaPulse — Study Roadmap</w:t>
    </w:r>
    <w:r>
      <w:rPr>
        <w:rFonts w:ascii="Arial" w:cs="Arial" w:eastAsia="Arial" w:hAnsi="Arial"/>
        <w:color w:val="AAAAAA"/>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2026-03-14T04:00:10.551Z</dcterms:created>
  <dcterms:modified xsi:type="dcterms:W3CDTF">2026-03-14T04:00:10.552Z</dcterms:modified>
</cp:coreProperties>
</file>

<file path=docProps/custom.xml><?xml version="1.0" encoding="utf-8"?>
<Properties xmlns="http://schemas.openxmlformats.org/officeDocument/2006/custom-properties" xmlns:vt="http://schemas.openxmlformats.org/officeDocument/2006/docPropsVTypes"/>
</file>