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rPr>
          <w:rFonts w:ascii="Arial" w:cs="Arial" w:eastAsia="Arial" w:hAnsi="Arial"/>
          <w:b/>
          <w:bCs/>
          <w:color w:val="1F4E79"/>
          <w:sz w:val="40"/>
          <w:szCs w:val="40"/>
        </w:rPr>
        <w:t xml:space="preserve">Consumer360 — Project Report</w:t>
      </w:r>
    </w:p>
    <w:p>
      <w:pPr>
        <w:spacing w:after="60" w:before="0"/>
        <w:jc w:val="center"/>
      </w:pPr>
      <w:r>
        <w:rPr>
          <w:rFonts w:ascii="Arial" w:cs="Arial" w:eastAsia="Arial" w:hAnsi="Arial"/>
          <w:i/>
          <w:iCs/>
          <w:color w:val="555555"/>
          <w:sz w:val="22"/>
          <w:szCs w:val="22"/>
        </w:rPr>
        <w:t xml:space="preserve">End-to-End Retail Analytics: Customer Segmentation, Churn Prediction &amp; Lifetime Value Engine</w:t>
      </w:r>
    </w:p>
    <w:p>
      <w:pPr>
        <w:spacing w:after="140" w:before="0"/>
        <w:jc w:val="center"/>
      </w:pPr>
      <w:r>
        <w:rPr>
          <w:rFonts w:ascii="Arial" w:cs="Arial" w:eastAsia="Arial" w:hAnsi="Arial"/>
          <w:color w:val="777777"/>
          <w:sz w:val="19"/>
          <w:szCs w:val="19"/>
        </w:rPr>
        <w:t xml:space="preserve">Squadron Beta | Infotact Solutions | March 2026</w:t>
      </w:r>
    </w:p>
    <w:p>
      <w:pPr>
        <w:pStyle w:val="Heading1"/>
        <w:pBdr>
          <w:bottom w:val="single" w:color="1F4E79" w:sz="2" w:space="2"/>
        </w:pBdr>
        <w:spacing w:after="80" w:before="260" w:line="276"/>
      </w:pPr>
      <w:r>
        <w:rPr>
          <w:rFonts w:ascii="Arial" w:cs="Arial" w:eastAsia="Arial" w:hAnsi="Arial"/>
          <w:b/>
          <w:bCs/>
          <w:color w:val="1F4E79"/>
          <w:sz w:val="30"/>
          <w:szCs w:val="30"/>
        </w:rPr>
        <w:t xml:space="preserve">1. Introduction &amp; Problem Statement</w:t>
      </w:r>
    </w:p>
    <w:p>
      <w:pPr>
        <w:spacing w:after="100" w:before="100" w:line="300"/>
      </w:pPr>
      <w:r>
        <w:rPr>
          <w:rFonts w:ascii="Arial" w:cs="Arial" w:eastAsia="Arial" w:hAnsi="Arial"/>
          <w:sz w:val="22"/>
          <w:szCs w:val="22"/>
        </w:rPr>
        <w:t xml:space="preserve">A retail business operating across 41 countries needs to understand its customer base — who the most valuable customers are, who is at risk of leaving, and what products to cross-sell. </w:t>
      </w:r>
      <w:r>
        <w:rPr>
          <w:rFonts w:ascii="Arial" w:cs="Arial" w:eastAsia="Arial" w:hAnsi="Arial"/>
          <w:b/>
          <w:bCs/>
          <w:sz w:val="22"/>
          <w:szCs w:val="22"/>
        </w:rPr>
        <w:t xml:space="preserve">Consumer360</w:t>
      </w:r>
      <w:r>
        <w:rPr>
          <w:rFonts w:ascii="Arial" w:cs="Arial" w:eastAsia="Arial" w:hAnsi="Arial"/>
          <w:sz w:val="22"/>
          <w:szCs w:val="22"/>
        </w:rPr>
        <w:t xml:space="preserve"> addresses this by building an automated, end-to-end analytics pipeline processing </w:t>
      </w:r>
      <w:r>
        <w:rPr>
          <w:rFonts w:ascii="Arial" w:cs="Arial" w:eastAsia="Arial" w:hAnsi="Arial"/>
          <w:b/>
          <w:bCs/>
          <w:sz w:val="22"/>
          <w:szCs w:val="22"/>
        </w:rPr>
        <w:t xml:space="preserve">401,604 transactions</w:t>
      </w:r>
      <w:r>
        <w:rPr>
          <w:rFonts w:ascii="Arial" w:cs="Arial" w:eastAsia="Arial" w:hAnsi="Arial"/>
          <w:sz w:val="22"/>
          <w:szCs w:val="22"/>
        </w:rPr>
        <w:t xml:space="preserve"> from </w:t>
      </w:r>
      <w:r>
        <w:rPr>
          <w:rFonts w:ascii="Arial" w:cs="Arial" w:eastAsia="Arial" w:hAnsi="Arial"/>
          <w:b/>
          <w:bCs/>
          <w:sz w:val="22"/>
          <w:szCs w:val="22"/>
        </w:rPr>
        <w:t xml:space="preserve">5,863 customers</w:t>
      </w:r>
      <w:r>
        <w:rPr>
          <w:rFonts w:ascii="Arial" w:cs="Arial" w:eastAsia="Arial" w:hAnsi="Arial"/>
          <w:sz w:val="22"/>
          <w:szCs w:val="22"/>
        </w:rPr>
        <w:t xml:space="preserve"> across </w:t>
      </w:r>
      <w:r>
        <w:rPr>
          <w:rFonts w:ascii="Arial" w:cs="Arial" w:eastAsia="Arial" w:hAnsi="Arial"/>
          <w:b/>
          <w:bCs/>
          <w:sz w:val="22"/>
          <w:szCs w:val="22"/>
        </w:rPr>
        <w:t xml:space="preserve">3,877 products</w:t>
      </w:r>
      <w:r>
        <w:rPr>
          <w:rFonts w:ascii="Arial" w:cs="Arial" w:eastAsia="Arial" w:hAnsi="Arial"/>
          <w:sz w:val="22"/>
          <w:szCs w:val="22"/>
        </w:rPr>
        <w:t xml:space="preserve"> (Dec 2009–Dec 2011). The pipeline produces five outputs: RFM segmentation, churn prediction, 12-month CLV forecasting, Apriori basket analysis, and cohort retention tracking.</w:t>
      </w:r>
    </w:p>
    <w:p>
      <w:pPr>
        <w:spacing w:after="100" w:before="100" w:line="300"/>
      </w:pPr>
      <w:r>
        <w:rPr>
          <w:rFonts w:ascii="Arial" w:cs="Arial" w:eastAsia="Arial" w:hAnsi="Arial"/>
          <w:sz w:val="22"/>
          <w:szCs w:val="22"/>
        </w:rPr>
        <w:t xml:space="preserve">The solution runs on a MySQL 8.4 star schema, a Python 3.14 pipeline with 8 automated quality gates, and an 8-page Power BI dashboard with Row Level Security, scheduled daily via cron at 3:00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Metric</w:t>
            </w:r>
          </w:p>
        </w:tc>
        <w:tc>
          <w:tcPr>
            <w:tcW w:type="dxa" w:w="468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Value</w:t>
            </w:r>
          </w:p>
        </w:tc>
      </w:tr>
      <w:tr>
        <w:tc>
          <w:tcPr>
            <w:tcW w:type="dxa" w:w="468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Total Transactions</w:t>
            </w:r>
          </w:p>
        </w:tc>
        <w:tc>
          <w:tcPr>
            <w:tcW w:type="dxa" w:w="468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401,604</w:t>
            </w:r>
          </w:p>
        </w:tc>
      </w:tr>
      <w:tr>
        <w:tc>
          <w:tcPr>
            <w:tcW w:type="dxa" w:w="468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Unique Customers</w:t>
            </w:r>
          </w:p>
        </w:tc>
        <w:tc>
          <w:tcPr>
            <w:tcW w:type="dxa" w:w="468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5,863</w:t>
            </w:r>
          </w:p>
        </w:tc>
      </w:tr>
      <w:tr>
        <w:tc>
          <w:tcPr>
            <w:tcW w:type="dxa" w:w="468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Unique Products</w:t>
            </w:r>
          </w:p>
        </w:tc>
        <w:tc>
          <w:tcPr>
            <w:tcW w:type="dxa" w:w="468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3,877</w:t>
            </w:r>
          </w:p>
        </w:tc>
      </w:tr>
      <w:tr>
        <w:tc>
          <w:tcPr>
            <w:tcW w:type="dxa" w:w="468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Countries</w:t>
            </w:r>
          </w:p>
        </w:tc>
        <w:tc>
          <w:tcPr>
            <w:tcW w:type="dxa" w:w="468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41</w:t>
            </w:r>
          </w:p>
        </w:tc>
      </w:tr>
      <w:tr>
        <w:tc>
          <w:tcPr>
            <w:tcW w:type="dxa" w:w="468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Total Revenue</w:t>
            </w:r>
          </w:p>
        </w:tc>
        <w:tc>
          <w:tcPr>
            <w:tcW w:type="dxa" w:w="468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£17,211,120.22</w:t>
            </w:r>
          </w:p>
        </w:tc>
      </w:tr>
      <w:tr>
        <w:tc>
          <w:tcPr>
            <w:tcW w:type="dxa" w:w="468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UK Revenue Share</w:t>
            </w:r>
          </w:p>
        </w:tc>
        <w:tc>
          <w:tcPr>
            <w:tcW w:type="dxa" w:w="468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83.1%</w:t>
            </w:r>
          </w:p>
        </w:tc>
      </w:tr>
      <w:tr>
        <w:tc>
          <w:tcPr>
            <w:tcW w:type="dxa" w:w="468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Date Range</w:t>
            </w:r>
          </w:p>
        </w:tc>
        <w:tc>
          <w:tcPr>
            <w:tcW w:type="dxa" w:w="468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Dec 2009 – Dec 2011</w:t>
            </w:r>
          </w:p>
        </w:tc>
      </w:tr>
    </w:tbl>
    <w:p>
      <w:pPr>
        <w:pStyle w:val="Heading1"/>
        <w:pBdr>
          <w:bottom w:val="single" w:color="1F4E79" w:sz="2" w:space="2"/>
        </w:pBdr>
        <w:spacing w:after="80" w:before="260" w:line="276"/>
      </w:pPr>
      <w:r>
        <w:rPr>
          <w:rFonts w:ascii="Arial" w:cs="Arial" w:eastAsia="Arial" w:hAnsi="Arial"/>
          <w:b/>
          <w:bCs/>
          <w:color w:val="1F4E79"/>
          <w:sz w:val="30"/>
          <w:szCs w:val="30"/>
        </w:rPr>
        <w:t xml:space="preserve">2. Architecture &amp; Methodology</w:t>
      </w:r>
    </w:p>
    <w:p>
      <w:pPr>
        <w:pStyle w:val="Heading2"/>
        <w:spacing w:after="80" w:before="180" w:line="276"/>
      </w:pPr>
      <w:r>
        <w:rPr>
          <w:rFonts w:ascii="Arial" w:cs="Arial" w:eastAsia="Arial" w:hAnsi="Arial"/>
          <w:b/>
          <w:bCs/>
          <w:color w:val="1F4E79"/>
          <w:sz w:val="26"/>
          <w:szCs w:val="26"/>
        </w:rPr>
        <w:t xml:space="preserve">2.1 Data Pipeline</w:t>
      </w:r>
    </w:p>
    <w:p>
      <w:pPr>
        <w:spacing w:after="100" w:before="100" w:line="300"/>
      </w:pPr>
      <w:r>
        <w:rPr>
          <w:rFonts w:ascii="Arial" w:cs="Arial" w:eastAsia="Arial" w:hAnsi="Arial"/>
          <w:b/>
          <w:bCs/>
          <w:sz w:val="22"/>
          <w:szCs w:val="22"/>
        </w:rPr>
        <w:t xml:space="preserve">Stage A — EDA &amp; Cleaning (basic_EDA.py): </w:t>
      </w:r>
      <w:r>
        <w:rPr>
          <w:rFonts w:ascii="Arial" w:cs="Arial" w:eastAsia="Arial" w:hAnsi="Arial"/>
          <w:sz w:val="22"/>
          <w:szCs w:val="22"/>
        </w:rPr>
        <w:t xml:space="preserve">Raw UCI Online Retail CSV is loaded, profiled, and cleaned — renaming columns, dropping null CustomerIDs, removing cancelled invoices (prefix "C"), filtering for positive Quantity/UnitPrice, deduplicating, and exporting as online_retail_clean.csv.</w:t>
      </w:r>
    </w:p>
    <w:p>
      <w:pPr>
        <w:spacing w:after="100" w:before="100" w:line="300"/>
      </w:pPr>
      <w:r>
        <w:rPr>
          <w:rFonts w:ascii="Arial" w:cs="Arial" w:eastAsia="Arial" w:hAnsi="Arial"/>
          <w:b/>
          <w:bCs/>
          <w:sz w:val="22"/>
          <w:szCs w:val="22"/>
        </w:rPr>
        <w:t xml:space="preserve">Stage B — MySQL Staging Load (step4_load_staging.py): </w:t>
      </w:r>
      <w:r>
        <w:rPr>
          <w:rFonts w:ascii="Arial" w:cs="Arial" w:eastAsia="Arial" w:hAnsi="Arial"/>
          <w:sz w:val="22"/>
          <w:szCs w:val="22"/>
        </w:rPr>
        <w:t xml:space="preserve">Cleaned CSV is bulk-loaded into stg_raw_retail (779,425 rows) via SQLAlchemy with 5,000-row chunked inserts. SQL scripts then populate the star schema.</w:t>
      </w:r>
    </w:p>
    <w:p>
      <w:pPr>
        <w:spacing w:after="100" w:before="100" w:line="300"/>
      </w:pPr>
      <w:r>
        <w:rPr>
          <w:rFonts w:ascii="Arial" w:cs="Arial" w:eastAsia="Arial" w:hAnsi="Arial"/>
          <w:b/>
          <w:bCs/>
          <w:sz w:val="22"/>
          <w:szCs w:val="22"/>
        </w:rPr>
        <w:t xml:space="preserve">Stage C — Analytics Pipeline (Consumer360.py): </w:t>
      </w:r>
      <w:r>
        <w:rPr>
          <w:rFonts w:ascii="Arial" w:cs="Arial" w:eastAsia="Arial" w:hAnsi="Arial"/>
          <w:sz w:val="22"/>
          <w:szCs w:val="22"/>
        </w:rPr>
        <w:t xml:space="preserve">Connects to MySQL via DB_URL from .env, pulls data through analytical views, and runs 8 sequential stages — each guarded by a quality gate that halts the pipeline on failure.</w:t>
      </w:r>
    </w:p>
    <w:p>
      <w:pPr>
        <w:pStyle w:val="Heading2"/>
        <w:spacing w:after="80" w:before="180" w:line="276"/>
      </w:pPr>
      <w:r>
        <w:rPr>
          <w:rFonts w:ascii="Arial" w:cs="Arial" w:eastAsia="Arial" w:hAnsi="Arial"/>
          <w:b/>
          <w:bCs/>
          <w:color w:val="1F4E79"/>
          <w:sz w:val="26"/>
          <w:szCs w:val="26"/>
        </w:rPr>
        <w:t xml:space="preserve">2.2 Database Schema</w:t>
      </w:r>
    </w:p>
    <w:p>
      <w:pPr>
        <w:spacing w:after="100" w:before="100" w:line="300"/>
      </w:pPr>
      <w:r>
        <w:rPr>
          <w:rFonts w:ascii="Arial" w:cs="Arial" w:eastAsia="Arial" w:hAnsi="Arial"/>
          <w:sz w:val="22"/>
          <w:szCs w:val="22"/>
        </w:rPr>
        <w:t xml:space="preserve">The MySQL 8.4 star schema includes: </w:t>
      </w:r>
      <w:r>
        <w:rPr>
          <w:rFonts w:ascii="Arial" w:cs="Arial" w:eastAsia="Arial" w:hAnsi="Arial"/>
          <w:b/>
          <w:bCs/>
          <w:sz w:val="22"/>
          <w:szCs w:val="22"/>
        </w:rPr>
        <w:t xml:space="preserve">fact_sales</w:t>
      </w:r>
      <w:r>
        <w:rPr>
          <w:rFonts w:ascii="Arial" w:cs="Arial" w:eastAsia="Arial" w:hAnsi="Arial"/>
          <w:sz w:val="22"/>
          <w:szCs w:val="22"/>
        </w:rPr>
        <w:t xml:space="preserve"> (401,604 rows), </w:t>
      </w:r>
      <w:r>
        <w:rPr>
          <w:rFonts w:ascii="Arial" w:cs="Arial" w:eastAsia="Arial" w:hAnsi="Arial"/>
          <w:b/>
          <w:bCs/>
          <w:sz w:val="22"/>
          <w:szCs w:val="22"/>
        </w:rPr>
        <w:t xml:space="preserve">dim_customer</w:t>
      </w:r>
      <w:r>
        <w:rPr>
          <w:rFonts w:ascii="Arial" w:cs="Arial" w:eastAsia="Arial" w:hAnsi="Arial"/>
          <w:sz w:val="22"/>
          <w:szCs w:val="22"/>
        </w:rPr>
        <w:t xml:space="preserve"> (5,863), </w:t>
      </w:r>
      <w:r>
        <w:rPr>
          <w:rFonts w:ascii="Arial" w:cs="Arial" w:eastAsia="Arial" w:hAnsi="Arial"/>
          <w:b/>
          <w:bCs/>
          <w:sz w:val="22"/>
          <w:szCs w:val="22"/>
        </w:rPr>
        <w:t xml:space="preserve">dim_date</w:t>
      </w:r>
      <w:r>
        <w:rPr>
          <w:rFonts w:ascii="Arial" w:cs="Arial" w:eastAsia="Arial" w:hAnsi="Arial"/>
          <w:sz w:val="22"/>
          <w:szCs w:val="22"/>
        </w:rPr>
        <w:t xml:space="preserve"> (731), </w:t>
      </w:r>
      <w:r>
        <w:rPr>
          <w:rFonts w:ascii="Arial" w:cs="Arial" w:eastAsia="Arial" w:hAnsi="Arial"/>
          <w:b/>
          <w:bCs/>
          <w:sz w:val="22"/>
          <w:szCs w:val="22"/>
        </w:rPr>
        <w:t xml:space="preserve">dim_product</w:t>
      </w:r>
      <w:r>
        <w:rPr>
          <w:rFonts w:ascii="Arial" w:cs="Arial" w:eastAsia="Arial" w:hAnsi="Arial"/>
          <w:sz w:val="22"/>
          <w:szCs w:val="22"/>
        </w:rPr>
        <w:t xml:space="preserve"> (3,877), plus staging tables and an rfm_segments output table. Seven analytical views (vw_SingleCustomerView, vw_ChurnRiskList, vw_MonthlyRevenue, etc.) and a stored procedure (refresh_rfm) support the pipeline.</w:t>
      </w:r>
    </w:p>
    <w:p>
      <w:pPr>
        <w:pStyle w:val="Heading2"/>
        <w:spacing w:after="80" w:before="180" w:line="276"/>
      </w:pPr>
      <w:r>
        <w:rPr>
          <w:rFonts w:ascii="Arial" w:cs="Arial" w:eastAsia="Arial" w:hAnsi="Arial"/>
          <w:b/>
          <w:bCs/>
          <w:color w:val="1F4E79"/>
          <w:sz w:val="26"/>
          <w:szCs w:val="26"/>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Layer</w:t>
            </w:r>
          </w:p>
        </w:tc>
        <w:tc>
          <w:tcPr>
            <w:tcW w:type="dxa" w:w="702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Technology</w:t>
            </w:r>
          </w:p>
        </w:tc>
      </w:tr>
      <w:tr>
        <w:tc>
          <w:tcPr>
            <w:tcW w:type="dxa" w:w="234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Database</w:t>
            </w:r>
          </w:p>
        </w:tc>
        <w:tc>
          <w:tcPr>
            <w:tcW w:type="dxa" w:w="702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MySQL 8.4 (star schema, 7 views, stored procedure, triggers, events)</w:t>
            </w:r>
          </w:p>
        </w:tc>
      </w:tr>
      <w:tr>
        <w:tc>
          <w:tcPr>
            <w:tcW w:type="dxa" w:w="234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ETL &amp; ML</w:t>
            </w:r>
          </w:p>
        </w:tc>
        <w:tc>
          <w:tcPr>
            <w:tcW w:type="dxa" w:w="702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Python 3.14 — pandas, scikit-learn, lifetimes, mlxtend, seaborn</w:t>
            </w:r>
          </w:p>
        </w:tc>
      </w:tr>
      <w:tr>
        <w:tc>
          <w:tcPr>
            <w:tcW w:type="dxa" w:w="234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Visualization</w:t>
            </w:r>
          </w:p>
        </w:tc>
        <w:tc>
          <w:tcPr>
            <w:tcW w:type="dxa" w:w="702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Power BI Desktop (8 pages, What-If simulation, RLS)</w:t>
            </w:r>
          </w:p>
        </w:tc>
      </w:tr>
      <w:tr>
        <w:tc>
          <w:tcPr>
            <w:tcW w:type="dxa" w:w="234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Automation</w:t>
            </w:r>
          </w:p>
        </w:tc>
        <w:tc>
          <w:tcPr>
            <w:tcW w:type="dxa" w:w="702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Cron (daily 3:00 PM) + Bash wrapper (cron_consumer360.sh)</w:t>
            </w:r>
          </w:p>
        </w:tc>
      </w:tr>
      <w:tr>
        <w:tc>
          <w:tcPr>
            <w:tcW w:type="dxa" w:w="234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Security</w:t>
            </w:r>
          </w:p>
        </w:tc>
        <w:tc>
          <w:tcPr>
            <w:tcW w:type="dxa" w:w="702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python-dotenv (.env excluded from git), Power BI RLS (3 roles)</w:t>
            </w:r>
          </w:p>
        </w:tc>
      </w:tr>
    </w:tbl>
    <w:p>
      <w:pPr>
        <w:pStyle w:val="Heading1"/>
        <w:pBdr>
          <w:bottom w:val="single" w:color="1F4E79" w:sz="2" w:space="2"/>
        </w:pBdr>
        <w:spacing w:after="80" w:before="260" w:line="276"/>
      </w:pPr>
      <w:r>
        <w:rPr>
          <w:rFonts w:ascii="Arial" w:cs="Arial" w:eastAsia="Arial" w:hAnsi="Arial"/>
          <w:b/>
          <w:bCs/>
          <w:color w:val="1F4E79"/>
          <w:sz w:val="30"/>
          <w:szCs w:val="30"/>
        </w:rPr>
        <w:t xml:space="preserve">3. Analytical Models &amp; Key Findings</w:t>
      </w:r>
    </w:p>
    <w:p>
      <w:pPr>
        <w:pStyle w:val="Heading2"/>
        <w:spacing w:after="80" w:before="180" w:line="276"/>
      </w:pPr>
      <w:r>
        <w:rPr>
          <w:rFonts w:ascii="Arial" w:cs="Arial" w:eastAsia="Arial" w:hAnsi="Arial"/>
          <w:b/>
          <w:bCs/>
          <w:color w:val="1F4E79"/>
          <w:sz w:val="26"/>
          <w:szCs w:val="26"/>
        </w:rPr>
        <w:t xml:space="preserve">3.1 RFM Segmentation</w:t>
      </w:r>
    </w:p>
    <w:p>
      <w:pPr>
        <w:spacing w:after="100" w:before="100" w:line="300"/>
      </w:pPr>
      <w:r>
        <w:rPr>
          <w:rFonts w:ascii="Arial" w:cs="Arial" w:eastAsia="Arial" w:hAnsi="Arial"/>
          <w:sz w:val="22"/>
          <w:szCs w:val="22"/>
        </w:rPr>
        <w:t xml:space="preserve">Customers are scored on Recency, Frequency, and Monetary value using NTILE quintile ranking (1–5). Combined scores drive segment assignment:</w:t>
      </w:r>
    </w:p>
    <w:tbl>
      <w:tblPr>
        <w:tblW w:type="dxa" w:w="819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170"/>
        <w:gridCol w:w="1170"/>
        <w:gridCol w:w="1560"/>
        <w:gridCol w:w="1170"/>
      </w:tblGrid>
      <w:tr>
        <w:tc>
          <w:tcPr>
            <w:tcW w:type="dxa" w:w="156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Segment</w:t>
            </w:r>
          </w:p>
        </w:tc>
        <w:tc>
          <w:tcPr>
            <w:tcW w:type="dxa" w:w="156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Rule</w:t>
            </w:r>
          </w:p>
        </w:tc>
        <w:tc>
          <w:tcPr>
            <w:tcW w:type="dxa" w:w="117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Customers</w:t>
            </w:r>
          </w:p>
        </w:tc>
        <w:tc>
          <w:tcPr>
            <w:tcW w:type="dxa" w:w="117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 Base</w:t>
            </w:r>
          </w:p>
        </w:tc>
        <w:tc>
          <w:tcPr>
            <w:tcW w:type="dxa" w:w="156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Avg Revenue</w:t>
            </w:r>
          </w:p>
        </w:tc>
        <w:tc>
          <w:tcPr>
            <w:tcW w:type="dxa" w:w="117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Avg CLV</w:t>
            </w:r>
          </w:p>
        </w:tc>
      </w:tr>
      <w:tr>
        <w:tc>
          <w:tcPr>
            <w:tcW w:type="dxa" w:w="156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Champions</w:t>
            </w:r>
          </w:p>
        </w:tc>
        <w:tc>
          <w:tcPr>
            <w:tcW w:type="dxa" w:w="156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R≥4, F≥4, M≥4</w:t>
            </w:r>
          </w:p>
        </w:tc>
        <w:tc>
          <w:tcPr>
            <w:tcW w:type="dxa" w:w="117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1,338</w:t>
            </w:r>
          </w:p>
        </w:tc>
        <w:tc>
          <w:tcPr>
            <w:tcW w:type="dxa" w:w="117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22.8%</w:t>
            </w:r>
          </w:p>
        </w:tc>
        <w:tc>
          <w:tcPr>
            <w:tcW w:type="dxa" w:w="156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£8,854</w:t>
            </w:r>
          </w:p>
        </w:tc>
        <w:tc>
          <w:tcPr>
            <w:tcW w:type="dxa" w:w="117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£369</w:t>
            </w:r>
          </w:p>
        </w:tc>
      </w:tr>
      <w:tr>
        <w:tc>
          <w:tcPr>
            <w:tcW w:type="dxa" w:w="156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Loyalists</w:t>
            </w:r>
          </w:p>
        </w:tc>
        <w:tc>
          <w:tcPr>
            <w:tcW w:type="dxa" w:w="156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F≥3, M≥3</w:t>
            </w:r>
          </w:p>
        </w:tc>
        <w:tc>
          <w:tcPr>
            <w:tcW w:type="dxa" w:w="117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1,146</w:t>
            </w:r>
          </w:p>
        </w:tc>
        <w:tc>
          <w:tcPr>
            <w:tcW w:type="dxa" w:w="117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19.6%</w:t>
            </w:r>
          </w:p>
        </w:tc>
        <w:tc>
          <w:tcPr>
            <w:tcW w:type="dxa" w:w="156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£2,324</w:t>
            </w:r>
          </w:p>
        </w:tc>
        <w:tc>
          <w:tcPr>
            <w:tcW w:type="dxa" w:w="117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£251</w:t>
            </w:r>
          </w:p>
        </w:tc>
      </w:tr>
      <w:tr>
        <w:tc>
          <w:tcPr>
            <w:tcW w:type="dxa" w:w="156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At Risk</w:t>
            </w:r>
          </w:p>
        </w:tc>
        <w:tc>
          <w:tcPr>
            <w:tcW w:type="dxa" w:w="156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R≤2, F≥3, M≥3</w:t>
            </w:r>
          </w:p>
        </w:tc>
        <w:tc>
          <w:tcPr>
            <w:tcW w:type="dxa" w:w="117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586</w:t>
            </w:r>
          </w:p>
        </w:tc>
        <w:tc>
          <w:tcPr>
            <w:tcW w:type="dxa" w:w="117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10.0%</w:t>
            </w:r>
          </w:p>
        </w:tc>
        <w:tc>
          <w:tcPr>
            <w:tcW w:type="dxa" w:w="156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£2,529</w:t>
            </w:r>
          </w:p>
        </w:tc>
        <w:tc>
          <w:tcPr>
            <w:tcW w:type="dxa" w:w="117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£46</w:t>
            </w:r>
          </w:p>
        </w:tc>
      </w:tr>
      <w:tr>
        <w:tc>
          <w:tcPr>
            <w:tcW w:type="dxa" w:w="156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Hibernating</w:t>
            </w:r>
          </w:p>
        </w:tc>
        <w:tc>
          <w:tcPr>
            <w:tcW w:type="dxa" w:w="156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All others</w:t>
            </w:r>
          </w:p>
        </w:tc>
        <w:tc>
          <w:tcPr>
            <w:tcW w:type="dxa" w:w="117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2,793</w:t>
            </w:r>
          </w:p>
        </w:tc>
        <w:tc>
          <w:tcPr>
            <w:tcW w:type="dxa" w:w="117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47.6%</w:t>
            </w:r>
          </w:p>
        </w:tc>
        <w:tc>
          <w:tcPr>
            <w:tcW w:type="dxa" w:w="156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£436</w:t>
            </w:r>
          </w:p>
        </w:tc>
        <w:tc>
          <w:tcPr>
            <w:tcW w:type="dxa" w:w="117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£34</w:t>
            </w:r>
          </w:p>
        </w:tc>
      </w:tr>
    </w:tbl>
    <w:p>
      <w:pPr>
        <w:spacing w:after="100" w:before="40" w:line="300"/>
      </w:pPr>
      <w:r>
        <w:rPr>
          <w:rFonts w:ascii="Arial" w:cs="Arial" w:eastAsia="Arial" w:hAnsi="Arial"/>
          <w:sz w:val="22"/>
          <w:szCs w:val="22"/>
        </w:rPr>
        <w:t xml:space="preserve">Champions (22.8%) generate the highest average revenue (£8,854) and CLV (£369). The Hibernating segment (47.6%) shows minimal engagement with avg frequency of 1.61 purchases.</w:t>
      </w:r>
    </w:p>
    <w:p>
      <w:pPr>
        <w:pStyle w:val="Heading2"/>
        <w:spacing w:after="80" w:before="180" w:line="276"/>
      </w:pPr>
      <w:r>
        <w:rPr>
          <w:rFonts w:ascii="Arial" w:cs="Arial" w:eastAsia="Arial" w:hAnsi="Arial"/>
          <w:b/>
          <w:bCs/>
          <w:color w:val="1F4E79"/>
          <w:sz w:val="26"/>
          <w:szCs w:val="26"/>
        </w:rPr>
        <w:t xml:space="preserve">3.2 Churn Prediction</w:t>
      </w:r>
    </w:p>
    <w:p>
      <w:pPr>
        <w:spacing w:after="100" w:before="100" w:line="300"/>
      </w:pPr>
      <w:r>
        <w:rPr>
          <w:rFonts w:ascii="Arial" w:cs="Arial" w:eastAsia="Arial" w:hAnsi="Arial"/>
          <w:sz w:val="22"/>
          <w:szCs w:val="22"/>
        </w:rPr>
        <w:t xml:space="preserve">Churn is defined as no purchase in 90+ days. A Logistic Regression model (L2, C=0.1, lbfgs) is trained on F_Raw, M_Raw, F_Score, M_Score (R_Raw excluded to prevent leakage). Features are standardized; data split 80/20 with stratification. ROC-AUC &gt; 0.60.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Risk Level</w:t>
            </w:r>
          </w:p>
        </w:tc>
        <w:tc>
          <w:tcPr>
            <w:tcW w:type="dxa" w:w="234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Probability</w:t>
            </w:r>
          </w:p>
        </w:tc>
        <w:tc>
          <w:tcPr>
            <w:tcW w:type="dxa" w:w="234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Count</w:t>
            </w:r>
          </w:p>
        </w:tc>
        <w:tc>
          <w:tcPr>
            <w:tcW w:type="dxa" w:w="234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 of Base</w:t>
            </w:r>
          </w:p>
        </w:tc>
      </w:tr>
      <w:tr>
        <w:tc>
          <w:tcPr>
            <w:tcW w:type="dxa" w:w="234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High Risk</w:t>
            </w:r>
          </w:p>
        </w:tc>
        <w:tc>
          <w:tcPr>
            <w:tcW w:type="dxa" w:w="234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&gt; 0.50</w:t>
            </w:r>
          </w:p>
        </w:tc>
        <w:tc>
          <w:tcPr>
            <w:tcW w:type="dxa" w:w="234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3,214</w:t>
            </w:r>
          </w:p>
        </w:tc>
        <w:tc>
          <w:tcPr>
            <w:tcW w:type="dxa" w:w="234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54.8%</w:t>
            </w:r>
          </w:p>
        </w:tc>
      </w:tr>
      <w:tr>
        <w:tc>
          <w:tcPr>
            <w:tcW w:type="dxa" w:w="234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Medium Risk</w:t>
            </w:r>
          </w:p>
        </w:tc>
        <w:tc>
          <w:tcPr>
            <w:tcW w:type="dxa" w:w="234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0.30 – 0.50</w:t>
            </w:r>
          </w:p>
        </w:tc>
        <w:tc>
          <w:tcPr>
            <w:tcW w:type="dxa" w:w="234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1,358</w:t>
            </w:r>
          </w:p>
        </w:tc>
        <w:tc>
          <w:tcPr>
            <w:tcW w:type="dxa" w:w="234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23.2%</w:t>
            </w:r>
          </w:p>
        </w:tc>
      </w:tr>
      <w:tr>
        <w:tc>
          <w:tcPr>
            <w:tcW w:type="dxa" w:w="234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Low Risk</w:t>
            </w:r>
          </w:p>
        </w:tc>
        <w:tc>
          <w:tcPr>
            <w:tcW w:type="dxa" w:w="234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&lt; 0.30</w:t>
            </w:r>
          </w:p>
        </w:tc>
        <w:tc>
          <w:tcPr>
            <w:tcW w:type="dxa" w:w="234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1,291</w:t>
            </w:r>
          </w:p>
        </w:tc>
        <w:tc>
          <w:tcPr>
            <w:tcW w:type="dxa" w:w="234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22.0%</w:t>
            </w:r>
          </w:p>
        </w:tc>
      </w:tr>
    </w:tbl>
    <w:p>
      <w:pPr>
        <w:spacing w:after="100" w:before="40" w:line="300"/>
      </w:pPr>
      <w:r>
        <w:rPr>
          <w:rFonts w:ascii="Arial" w:cs="Arial" w:eastAsia="Arial" w:hAnsi="Arial"/>
          <w:sz w:val="22"/>
          <w:szCs w:val="22"/>
        </w:rPr>
        <w:t xml:space="preserve">The pipeline flags </w:t>
      </w:r>
      <w:r>
        <w:rPr>
          <w:rFonts w:ascii="Arial" w:cs="Arial" w:eastAsia="Arial" w:hAnsi="Arial"/>
          <w:b/>
          <w:bCs/>
          <w:sz w:val="22"/>
          <w:szCs w:val="22"/>
        </w:rPr>
        <w:t xml:space="preserve">1,101 customers</w:t>
      </w:r>
      <w:r>
        <w:rPr>
          <w:rFonts w:ascii="Arial" w:cs="Arial" w:eastAsia="Arial" w:hAnsi="Arial"/>
          <w:sz w:val="22"/>
          <w:szCs w:val="22"/>
        </w:rPr>
        <w:t xml:space="preserve"> inactive 60–180 days as win-back targets, representing </w:t>
      </w:r>
      <w:r>
        <w:rPr>
          <w:rFonts w:ascii="Arial" w:cs="Arial" w:eastAsia="Arial" w:hAnsi="Arial"/>
          <w:b/>
          <w:bCs/>
          <w:sz w:val="22"/>
          <w:szCs w:val="22"/>
        </w:rPr>
        <w:t xml:space="preserve">£2,058,141</w:t>
      </w:r>
      <w:r>
        <w:rPr>
          <w:rFonts w:ascii="Arial" w:cs="Arial" w:eastAsia="Arial" w:hAnsi="Arial"/>
          <w:sz w:val="22"/>
          <w:szCs w:val="22"/>
        </w:rPr>
        <w:t xml:space="preserve"> in historical revenue (avg £1,869/customer).</w:t>
      </w:r>
    </w:p>
    <w:p>
      <w:pPr>
        <w:pStyle w:val="Heading2"/>
        <w:spacing w:after="80" w:before="180" w:line="276"/>
      </w:pPr>
      <w:r>
        <w:rPr>
          <w:rFonts w:ascii="Arial" w:cs="Arial" w:eastAsia="Arial" w:hAnsi="Arial"/>
          <w:b/>
          <w:bCs/>
          <w:color w:val="1F4E79"/>
          <w:sz w:val="26"/>
          <w:szCs w:val="26"/>
        </w:rPr>
        <w:t xml:space="preserve">3.3 Customer Lifetime Value (CLV)</w:t>
      </w:r>
    </w:p>
    <w:p>
      <w:pPr>
        <w:spacing w:after="100" w:before="100" w:line="300"/>
      </w:pPr>
      <w:r>
        <w:rPr>
          <w:rFonts w:ascii="Arial" w:cs="Arial" w:eastAsia="Arial" w:hAnsi="Arial"/>
          <w:sz w:val="22"/>
          <w:szCs w:val="22"/>
        </w:rPr>
        <w:t xml:space="preserve">CLV uses two probabilistic models: </w:t>
      </w:r>
      <w:r>
        <w:rPr>
          <w:rFonts w:ascii="Arial" w:cs="Arial" w:eastAsia="Arial" w:hAnsi="Arial"/>
          <w:b/>
          <w:bCs/>
          <w:sz w:val="22"/>
          <w:szCs w:val="22"/>
        </w:rPr>
        <w:t xml:space="preserve">BG/NBD</w:t>
      </w:r>
      <w:r>
        <w:rPr>
          <w:rFonts w:ascii="Arial" w:cs="Arial" w:eastAsia="Arial" w:hAnsi="Arial"/>
          <w:sz w:val="22"/>
          <w:szCs w:val="22"/>
        </w:rPr>
        <w:t xml:space="preserve"> (models purchase frequency and customer "alive" probability) and </w:t>
      </w:r>
      <w:r>
        <w:rPr>
          <w:rFonts w:ascii="Arial" w:cs="Arial" w:eastAsia="Arial" w:hAnsi="Arial"/>
          <w:b/>
          <w:bCs/>
          <w:sz w:val="22"/>
          <w:szCs w:val="22"/>
        </w:rPr>
        <w:t xml:space="preserve">Gamma-Gamma</w:t>
      </w:r>
      <w:r>
        <w:rPr>
          <w:rFonts w:ascii="Arial" w:cs="Arial" w:eastAsia="Arial" w:hAnsi="Arial"/>
          <w:sz w:val="22"/>
          <w:szCs w:val="22"/>
        </w:rPr>
        <w:t xml:space="preserve"> (estimates expected monetary value per transaction, requires frequency &gt; 1). Combined 12-month CLV uses a 1% weekly discount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Metric</w:t>
            </w:r>
          </w:p>
        </w:tc>
        <w:tc>
          <w:tcPr>
            <w:tcW w:type="dxa" w:w="468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Value</w:t>
            </w:r>
          </w:p>
        </w:tc>
      </w:tr>
      <w:tr>
        <w:tc>
          <w:tcPr>
            <w:tcW w:type="dxa" w:w="468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Average CLV</w:t>
            </w:r>
          </w:p>
        </w:tc>
        <w:tc>
          <w:tcPr>
            <w:tcW w:type="dxa" w:w="468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£199.87</w:t>
            </w:r>
          </w:p>
        </w:tc>
      </w:tr>
      <w:tr>
        <w:tc>
          <w:tcPr>
            <w:tcW w:type="dxa" w:w="468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Median CLV</w:t>
            </w:r>
          </w:p>
        </w:tc>
        <w:tc>
          <w:tcPr>
            <w:tcW w:type="dxa" w:w="468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£48.53</w:t>
            </w:r>
          </w:p>
        </w:tc>
      </w:tr>
      <w:tr>
        <w:tc>
          <w:tcPr>
            <w:tcW w:type="dxa" w:w="468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Maximum CLV</w:t>
            </w:r>
          </w:p>
        </w:tc>
        <w:tc>
          <w:tcPr>
            <w:tcW w:type="dxa" w:w="468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£129,069.24 (Customer 16446)</w:t>
            </w:r>
          </w:p>
        </w:tc>
      </w:tr>
      <w:tr>
        <w:tc>
          <w:tcPr>
            <w:tcW w:type="dxa" w:w="468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Repeat Customers</w:t>
            </w:r>
          </w:p>
        </w:tc>
        <w:tc>
          <w:tcPr>
            <w:tcW w:type="dxa" w:w="468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4,244 (72.4%)</w:t>
            </w:r>
          </w:p>
        </w:tc>
      </w:tr>
      <w:tr>
        <w:tc>
          <w:tcPr>
            <w:tcW w:type="dxa" w:w="468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Single-Purchase (excluded)</w:t>
            </w:r>
          </w:p>
        </w:tc>
        <w:tc>
          <w:tcPr>
            <w:tcW w:type="dxa" w:w="468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1,619 (27.6%)</w:t>
            </w:r>
          </w:p>
        </w:tc>
      </w:tr>
    </w:tbl>
    <w:p>
      <w:pPr>
        <w:spacing w:after="100" w:before="30" w:line="300"/>
      </w:pPr>
      <w:r>
        <w:rPr>
          <w:rFonts w:ascii="Arial" w:cs="Arial" w:eastAsia="Arial" w:hAnsi="Arial"/>
          <w:i/>
          <w:iCs/>
          <w:sz w:val="19"/>
          <w:szCs w:val="19"/>
        </w:rPr>
        <w:t xml:space="preserve">Top 3 CLV: Customer 16446 (£129,069), 17949 (£33,824), 18102 (£33,682).</w:t>
      </w:r>
    </w:p>
    <w:p>
      <w:pPr>
        <w:pStyle w:val="Heading2"/>
        <w:spacing w:after="80" w:before="180" w:line="276"/>
      </w:pPr>
      <w:r>
        <w:rPr>
          <w:rFonts w:ascii="Arial" w:cs="Arial" w:eastAsia="Arial" w:hAnsi="Arial"/>
          <w:b/>
          <w:bCs/>
          <w:color w:val="1F4E79"/>
          <w:sz w:val="26"/>
          <w:szCs w:val="26"/>
        </w:rPr>
        <w:t xml:space="preserve">3.4 Market Basket Analysis</w:t>
      </w:r>
    </w:p>
    <w:p>
      <w:pPr>
        <w:spacing w:after="100" w:before="100" w:line="300"/>
      </w:pPr>
      <w:r>
        <w:rPr>
          <w:rFonts w:ascii="Arial" w:cs="Arial" w:eastAsia="Arial" w:hAnsi="Arial"/>
          <w:sz w:val="22"/>
          <w:szCs w:val="22"/>
        </w:rPr>
        <w:t xml:space="preserve">Apriori identifies co-purchased pairs (min support 2%, max itemset length 2). Rules filtered by lift &gt; 1.5, yielding </w:t>
      </w:r>
      <w:r>
        <w:rPr>
          <w:rFonts w:ascii="Arial" w:cs="Arial" w:eastAsia="Arial" w:hAnsi="Arial"/>
          <w:b/>
          <w:bCs/>
          <w:sz w:val="22"/>
          <w:szCs w:val="22"/>
        </w:rPr>
        <w:t xml:space="preserve">60 rules</w:t>
      </w:r>
      <w:r>
        <w:rPr>
          <w:rFonts w:ascii="Arial" w:cs="Arial" w:eastAsia="Arial" w:hAnsi="Arial"/>
          <w:sz w:val="22"/>
          <w:szCs w:val="22"/>
        </w:rPr>
        <w:t xml:space="preserve"> involving 28 unique products.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200"/>
        <w:gridCol w:w="1200"/>
      </w:tblGrid>
      <w:tr>
        <w:tc>
          <w:tcPr>
            <w:tcW w:type="dxa" w:w="300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Antecedent</w:t>
            </w:r>
          </w:p>
        </w:tc>
        <w:tc>
          <w:tcPr>
            <w:tcW w:type="dxa" w:w="300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Consequent</w:t>
            </w:r>
          </w:p>
        </w:tc>
        <w:tc>
          <w:tcPr>
            <w:tcW w:type="dxa" w:w="120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Conf.</w:t>
            </w:r>
          </w:p>
        </w:tc>
        <w:tc>
          <w:tcPr>
            <w:tcW w:type="dxa" w:w="120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Lift</w:t>
            </w:r>
          </w:p>
        </w:tc>
      </w:tr>
      <w:tr>
        <w:tc>
          <w:tcPr>
            <w:tcW w:type="dxa" w:w="30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Teacup Regency Roses</w:t>
            </w:r>
          </w:p>
        </w:tc>
        <w:tc>
          <w:tcPr>
            <w:tcW w:type="dxa" w:w="30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Teacup Regency Green</w:t>
            </w:r>
          </w:p>
        </w:tc>
        <w:tc>
          <w:tcPr>
            <w:tcW w:type="dxa" w:w="12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70.5%</w:t>
            </w:r>
          </w:p>
        </w:tc>
        <w:tc>
          <w:tcPr>
            <w:tcW w:type="dxa" w:w="12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27.41x</w:t>
            </w:r>
          </w:p>
        </w:tc>
      </w:tr>
      <w:tr>
        <w:tc>
          <w:tcPr>
            <w:tcW w:type="dxa" w:w="30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Teacup Regency Green</w:t>
            </w:r>
          </w:p>
        </w:tc>
        <w:tc>
          <w:tcPr>
            <w:tcW w:type="dxa" w:w="30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Teacup Regency Roses</w:t>
            </w:r>
          </w:p>
        </w:tc>
        <w:tc>
          <w:tcPr>
            <w:tcW w:type="dxa" w:w="12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79.7%</w:t>
            </w:r>
          </w:p>
        </w:tc>
        <w:tc>
          <w:tcPr>
            <w:tcW w:type="dxa" w:w="12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27.41x</w:t>
            </w:r>
          </w:p>
        </w:tc>
      </w:tr>
      <w:tr>
        <w:tc>
          <w:tcPr>
            <w:tcW w:type="dxa" w:w="30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Sweetheart Trinket Box</w:t>
            </w:r>
          </w:p>
        </w:tc>
        <w:tc>
          <w:tcPr>
            <w:tcW w:type="dxa" w:w="30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Strawberry Trinket Pot</w:t>
            </w:r>
          </w:p>
        </w:tc>
        <w:tc>
          <w:tcPr>
            <w:tcW w:type="dxa" w:w="12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73.2%</w:t>
            </w:r>
          </w:p>
        </w:tc>
        <w:tc>
          <w:tcPr>
            <w:tcW w:type="dxa" w:w="12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14.22x</w:t>
            </w:r>
          </w:p>
        </w:tc>
      </w:tr>
      <w:tr>
        <w:tc>
          <w:tcPr>
            <w:tcW w:type="dxa" w:w="30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Wooden Frame Antique White</w:t>
            </w:r>
          </w:p>
        </w:tc>
        <w:tc>
          <w:tcPr>
            <w:tcW w:type="dxa" w:w="30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Wooden Frame White Finish</w:t>
            </w:r>
          </w:p>
        </w:tc>
        <w:tc>
          <w:tcPr>
            <w:tcW w:type="dxa" w:w="12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59.9%</w:t>
            </w:r>
          </w:p>
        </w:tc>
        <w:tc>
          <w:tcPr>
            <w:tcW w:type="dxa" w:w="12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12.43x</w:t>
            </w:r>
          </w:p>
        </w:tc>
      </w:tr>
    </w:tbl>
    <w:p>
      <w:pPr>
        <w:spacing w:after="100" w:before="40" w:line="300"/>
      </w:pPr>
      <w:r>
        <w:rPr>
          <w:rFonts w:ascii="Arial" w:cs="Arial" w:eastAsia="Arial" w:hAnsi="Arial"/>
          <w:sz w:val="22"/>
          <w:szCs w:val="22"/>
        </w:rPr>
        <w:t xml:space="preserve">A lift of 27.41x means Regency Roses buyers are 27× more likely to buy Regency Green — directly translating to bundle pricing and product page recommendations.</w:t>
      </w:r>
    </w:p>
    <w:p>
      <w:pPr>
        <w:pStyle w:val="Heading2"/>
        <w:spacing w:after="80" w:before="180" w:line="276"/>
      </w:pPr>
      <w:r>
        <w:rPr>
          <w:rFonts w:ascii="Arial" w:cs="Arial" w:eastAsia="Arial" w:hAnsi="Arial"/>
          <w:b/>
          <w:bCs/>
          <w:color w:val="1F4E79"/>
          <w:sz w:val="26"/>
          <w:szCs w:val="26"/>
        </w:rPr>
        <w:t xml:space="preserve">3.5 Cohort Retention</w:t>
      </w:r>
    </w:p>
    <w:p>
      <w:pPr>
        <w:spacing w:after="100" w:before="100" w:line="300"/>
      </w:pPr>
      <w:r>
        <w:rPr>
          <w:rFonts w:ascii="Arial" w:cs="Arial" w:eastAsia="Arial" w:hAnsi="Arial"/>
          <w:sz w:val="22"/>
          <w:szCs w:val="22"/>
        </w:rPr>
        <w:t xml:space="preserve">25 monthly cohorts (Dec 2009–Dec 2011) reveal a consistent pattern: </w:t>
      </w:r>
      <w:r>
        <w:rPr>
          <w:rFonts w:ascii="Arial" w:cs="Arial" w:eastAsia="Arial" w:hAnsi="Arial"/>
          <w:b/>
          <w:bCs/>
          <w:sz w:val="22"/>
          <w:szCs w:val="22"/>
        </w:rPr>
        <w:t xml:space="preserve">65–86% first-month drop-off</w:t>
      </w:r>
      <w:r>
        <w:rPr>
          <w:rFonts w:ascii="Arial" w:cs="Arial" w:eastAsia="Arial" w:hAnsi="Arial"/>
          <w:sz w:val="22"/>
          <w:szCs w:val="22"/>
        </w:rPr>
        <w:t xml:space="preserve"> (M+1 retention: 14–35%). Retention stabilizes at 10–25% by M+3. Best cohort: Dec 2009 (954 customers, 49.48% at M+11). Worst: Dec 2010 (163 customers, 5% by M+5).</w:t>
      </w:r>
    </w:p>
    <w:p>
      <w:pPr>
        <w:pStyle w:val="Heading1"/>
        <w:pBdr>
          <w:bottom w:val="single" w:color="1F4E79" w:sz="2" w:space="2"/>
        </w:pBdr>
        <w:spacing w:after="80" w:before="260" w:line="276"/>
      </w:pPr>
      <w:r>
        <w:rPr>
          <w:rFonts w:ascii="Arial" w:cs="Arial" w:eastAsia="Arial" w:hAnsi="Arial"/>
          <w:b/>
          <w:bCs/>
          <w:color w:val="1F4E79"/>
          <w:sz w:val="30"/>
          <w:szCs w:val="30"/>
        </w:rPr>
        <w:t xml:space="preserve">4. Quality Gates &amp; Automation</w:t>
      </w:r>
    </w:p>
    <w:p>
      <w:pPr>
        <w:pStyle w:val="Heading2"/>
        <w:spacing w:after="80" w:before="180" w:line="276"/>
      </w:pPr>
      <w:r>
        <w:rPr>
          <w:rFonts w:ascii="Arial" w:cs="Arial" w:eastAsia="Arial" w:hAnsi="Arial"/>
          <w:b/>
          <w:bCs/>
          <w:color w:val="1F4E79"/>
          <w:sz w:val="26"/>
          <w:szCs w:val="26"/>
        </w:rPr>
        <w:t xml:space="preserve">4.1 Eight Quality Gates</w:t>
      </w:r>
    </w:p>
    <w:p>
      <w:pPr>
        <w:spacing w:after="100" w:before="100" w:line="300"/>
      </w:pPr>
      <w:r>
        <w:rPr>
          <w:rFonts w:ascii="Arial" w:cs="Arial" w:eastAsia="Arial" w:hAnsi="Arial"/>
          <w:sz w:val="22"/>
          <w:szCs w:val="22"/>
        </w:rPr>
        <w:t xml:space="preserve">Every pipeline run validates data integrity. If any gate fails, the pipeline halts with a descriptive error and non-zero exit code.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4200"/>
        <w:gridCol w:w="2600"/>
      </w:tblGrid>
      <w:tr>
        <w:tc>
          <w:tcPr>
            <w:tcW w:type="dxa" w:w="70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Gate</w:t>
            </w:r>
          </w:p>
        </w:tc>
        <w:tc>
          <w:tcPr>
            <w:tcW w:type="dxa" w:w="140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Stage</w:t>
            </w:r>
          </w:p>
        </w:tc>
        <w:tc>
          <w:tcPr>
            <w:tcW w:type="dxa" w:w="420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Validation</w:t>
            </w:r>
          </w:p>
        </w:tc>
        <w:tc>
          <w:tcPr>
            <w:tcW w:type="dxa" w:w="260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Threshold</w:t>
            </w:r>
          </w:p>
        </w:tc>
      </w:tr>
      <w:tr>
        <w:tc>
          <w:tcPr>
            <w:tcW w:type="dxa" w:w="7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1</w:t>
            </w:r>
          </w:p>
        </w:tc>
        <w:tc>
          <w:tcPr>
            <w:tcW w:type="dxa" w:w="14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Source Data</w:t>
            </w:r>
          </w:p>
        </w:tc>
        <w:tc>
          <w:tcPr>
            <w:tcW w:type="dxa" w:w="42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Row count, null IDs, uniqueness</w:t>
            </w:r>
          </w:p>
        </w:tc>
        <w:tc>
          <w:tcPr>
            <w:tcW w:type="dxa" w:w="26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&gt; 1,000 customers</w:t>
            </w:r>
          </w:p>
        </w:tc>
      </w:tr>
      <w:tr>
        <w:tc>
          <w:tcPr>
            <w:tcW w:type="dxa" w:w="7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2</w:t>
            </w:r>
          </w:p>
        </w:tc>
        <w:tc>
          <w:tcPr>
            <w:tcW w:type="dxa" w:w="14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Segmentation</w:t>
            </w:r>
          </w:p>
        </w:tc>
        <w:tc>
          <w:tcPr>
            <w:tcW w:type="dxa" w:w="42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Scores 1–5, all segments present</w:t>
            </w:r>
          </w:p>
        </w:tc>
        <w:tc>
          <w:tcPr>
            <w:tcW w:type="dxa" w:w="26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All 4 segments exist</w:t>
            </w:r>
          </w:p>
        </w:tc>
      </w:tr>
      <w:tr>
        <w:tc>
          <w:tcPr>
            <w:tcW w:type="dxa" w:w="7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3</w:t>
            </w:r>
          </w:p>
        </w:tc>
        <w:tc>
          <w:tcPr>
            <w:tcW w:type="dxa" w:w="14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Churn Model</w:t>
            </w:r>
          </w:p>
        </w:tc>
        <w:tc>
          <w:tcPr>
            <w:tcW w:type="dxa" w:w="42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Churn rate bounds, AUC, probs [0,1]</w:t>
            </w:r>
          </w:p>
        </w:tc>
        <w:tc>
          <w:tcPr>
            <w:tcW w:type="dxa" w:w="26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AUC &gt; 0.60, rate 5–80%</w:t>
            </w:r>
          </w:p>
        </w:tc>
      </w:tr>
      <w:tr>
        <w:tc>
          <w:tcPr>
            <w:tcW w:type="dxa" w:w="7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4</w:t>
            </w:r>
          </w:p>
        </w:tc>
        <w:tc>
          <w:tcPr>
            <w:tcW w:type="dxa" w:w="14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CLV</w:t>
            </w:r>
          </w:p>
        </w:tc>
        <w:tc>
          <w:tcPr>
            <w:tcW w:type="dxa" w:w="42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No negative CLV or predictions</w:t>
            </w:r>
          </w:p>
        </w:tc>
        <w:tc>
          <w:tcPr>
            <w:tcW w:type="dxa" w:w="26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CLV ≥ 0</w:t>
            </w:r>
          </w:p>
        </w:tc>
      </w:tr>
      <w:tr>
        <w:tc>
          <w:tcPr>
            <w:tcW w:type="dxa" w:w="7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5</w:t>
            </w:r>
          </w:p>
        </w:tc>
        <w:tc>
          <w:tcPr>
            <w:tcW w:type="dxa" w:w="14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Merge</w:t>
            </w:r>
          </w:p>
        </w:tc>
        <w:tc>
          <w:tcPr>
            <w:tcW w:type="dxa" w:w="42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Customer loss after RFM+CLV join</w:t>
            </w:r>
          </w:p>
        </w:tc>
        <w:tc>
          <w:tcPr>
            <w:tcW w:type="dxa" w:w="26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&lt; 20% loss</w:t>
            </w:r>
          </w:p>
        </w:tc>
      </w:tr>
      <w:tr>
        <w:tc>
          <w:tcPr>
            <w:tcW w:type="dxa" w:w="7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6</w:t>
            </w:r>
          </w:p>
        </w:tc>
        <w:tc>
          <w:tcPr>
            <w:tcW w:type="dxa" w:w="14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Basket Rules</w:t>
            </w:r>
          </w:p>
        </w:tc>
        <w:tc>
          <w:tcPr>
            <w:tcW w:type="dxa" w:w="42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Min rules, lifts &gt; 1, conf [0,1]</w:t>
            </w:r>
          </w:p>
        </w:tc>
        <w:tc>
          <w:tcPr>
            <w:tcW w:type="dxa" w:w="26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 10 rules</w:t>
            </w:r>
          </w:p>
        </w:tc>
      </w:tr>
      <w:tr>
        <w:tc>
          <w:tcPr>
            <w:tcW w:type="dxa" w:w="7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7</w:t>
            </w:r>
          </w:p>
        </w:tc>
        <w:tc>
          <w:tcPr>
            <w:tcW w:type="dxa" w:w="14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Retention</w:t>
            </w:r>
          </w:p>
        </w:tc>
        <w:tc>
          <w:tcPr>
            <w:tcW w:type="dxa" w:w="42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Percentages 0–100%, M+0 = 100%</w:t>
            </w:r>
          </w:p>
        </w:tc>
        <w:tc>
          <w:tcPr>
            <w:tcW w:type="dxa" w:w="26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0 ≤ ret ≤ 100%</w:t>
            </w:r>
          </w:p>
        </w:tc>
      </w:tr>
      <w:tr>
        <w:tc>
          <w:tcPr>
            <w:tcW w:type="dxa" w:w="7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8</w:t>
            </w:r>
          </w:p>
        </w:tc>
        <w:tc>
          <w:tcPr>
            <w:tcW w:type="dxa" w:w="14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Output Files</w:t>
            </w:r>
          </w:p>
        </w:tc>
        <w:tc>
          <w:tcPr>
            <w:tcW w:type="dxa" w:w="42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All files exist, min row counts</w:t>
            </w:r>
          </w:p>
        </w:tc>
        <w:tc>
          <w:tcPr>
            <w:tcW w:type="dxa" w:w="26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rfm:1000, clv:500</w:t>
            </w:r>
          </w:p>
        </w:tc>
      </w:tr>
    </w:tbl>
    <w:p>
      <w:pPr>
        <w:pStyle w:val="Heading2"/>
        <w:spacing w:after="80" w:before="180" w:line="276"/>
      </w:pPr>
      <w:r>
        <w:rPr>
          <w:rFonts w:ascii="Arial" w:cs="Arial" w:eastAsia="Arial" w:hAnsi="Arial"/>
          <w:b/>
          <w:bCs/>
          <w:color w:val="1F4E79"/>
          <w:sz w:val="26"/>
          <w:szCs w:val="26"/>
        </w:rPr>
        <w:t xml:space="preserve">4.2 Cron Automation &amp; Outputs</w:t>
      </w:r>
    </w:p>
    <w:p>
      <w:pPr>
        <w:spacing w:after="100" w:before="100" w:line="300"/>
      </w:pPr>
      <w:r>
        <w:rPr>
          <w:rFonts w:ascii="Arial" w:cs="Arial" w:eastAsia="Arial" w:hAnsi="Arial"/>
          <w:sz w:val="22"/>
          <w:szCs w:val="22"/>
        </w:rPr>
        <w:t xml:space="preserve">Scheduled via crontab (0 15 * * *). Bash wrapper handles directory navigation, logging to logs/pipeline.log, exit code capture, and timestamped markers. Python pipeline uses try/except/finally with sys.exit(1) on failure.</w:t>
      </w:r>
    </w:p>
    <w:p>
      <w:pPr>
        <w:spacing w:after="100" w:before="100" w:line="300"/>
      </w:pPr>
      <w:r>
        <w:rPr>
          <w:rFonts w:ascii="Arial" w:cs="Arial" w:eastAsia="Arial" w:hAnsi="Arial"/>
          <w:b/>
          <w:bCs/>
          <w:sz w:val="22"/>
          <w:szCs w:val="22"/>
        </w:rPr>
        <w:t xml:space="preserve">Pipeline outputs: </w:t>
      </w:r>
      <w:r>
        <w:rPr>
          <w:rFonts w:ascii="Arial" w:cs="Arial" w:eastAsia="Arial" w:hAnsi="Arial"/>
          <w:sz w:val="22"/>
          <w:szCs w:val="22"/>
        </w:rPr>
        <w:t xml:space="preserve">rfm_segments.csv (5,863 rows), clv_predictions.csv (4,244), basket_rules.csv (60), cohort_retention.csv (25 cohorts), churn_risk_list.csv (1,101), and cohort_retention_heatmap.png.</w:t>
      </w:r>
    </w:p>
    <w:p>
      <w:pPr>
        <w:pStyle w:val="Heading1"/>
        <w:pBdr>
          <w:bottom w:val="single" w:color="1F4E79" w:sz="2" w:space="2"/>
        </w:pBdr>
        <w:spacing w:after="80" w:before="260" w:line="276"/>
      </w:pPr>
      <w:r>
        <w:rPr>
          <w:rFonts w:ascii="Arial" w:cs="Arial" w:eastAsia="Arial" w:hAnsi="Arial"/>
          <w:b/>
          <w:bCs/>
          <w:color w:val="1F4E79"/>
          <w:sz w:val="30"/>
          <w:szCs w:val="30"/>
        </w:rPr>
        <w:t xml:space="preserve">5. Dashboard &amp; Strategic Recommendations</w:t>
      </w:r>
    </w:p>
    <w:p>
      <w:pPr>
        <w:pStyle w:val="Heading2"/>
        <w:spacing w:after="80" w:before="180" w:line="276"/>
      </w:pPr>
      <w:r>
        <w:rPr>
          <w:rFonts w:ascii="Arial" w:cs="Arial" w:eastAsia="Arial" w:hAnsi="Arial"/>
          <w:b/>
          <w:bCs/>
          <w:color w:val="1F4E79"/>
          <w:sz w:val="26"/>
          <w:szCs w:val="26"/>
        </w:rPr>
        <w:t xml:space="preserve">5.1 Power BI Dashboard</w:t>
      </w:r>
    </w:p>
    <w:p>
      <w:pPr>
        <w:spacing w:after="100" w:before="100" w:line="300"/>
      </w:pPr>
      <w:r>
        <w:rPr>
          <w:rFonts w:ascii="Arial" w:cs="Arial" w:eastAsia="Arial" w:hAnsi="Arial"/>
          <w:sz w:val="22"/>
          <w:szCs w:val="22"/>
        </w:rPr>
        <w:t xml:space="preserve">The interactive dashboard spans 8 pages, built on pipeline CSVs and MySQL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Page</w:t>
            </w:r>
          </w:p>
        </w:tc>
        <w:tc>
          <w:tcPr>
            <w:tcW w:type="dxa" w:w="656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Content</w:t>
            </w:r>
          </w:p>
        </w:tc>
      </w:tr>
      <w:tr>
        <w:tc>
          <w:tcPr>
            <w:tcW w:type="dxa" w:w="28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Executive Summary</w:t>
            </w:r>
          </w:p>
        </w:tc>
        <w:tc>
          <w:tcPr>
            <w:tcW w:type="dxa" w:w="656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KPI cards (£17.21M revenue, 5,863 customers, 401,604 transactions), segment donut chart, country map</w:t>
            </w:r>
          </w:p>
        </w:tc>
      </w:tr>
      <w:tr>
        <w:tc>
          <w:tcPr>
            <w:tcW w:type="dxa" w:w="28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RFM Segmentation</w:t>
            </w:r>
          </w:p>
        </w:tc>
        <w:tc>
          <w:tcPr>
            <w:tcW w:type="dxa" w:w="656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Segment comparison bar charts, RFM scatter plot</w:t>
            </w:r>
          </w:p>
        </w:tc>
      </w:tr>
      <w:tr>
        <w:tc>
          <w:tcPr>
            <w:tcW w:type="dxa" w:w="28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Churn Risk Analysis</w:t>
            </w:r>
          </w:p>
        </w:tc>
        <w:tc>
          <w:tcPr>
            <w:tcW w:type="dxa" w:w="656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Churn probability histogram, risk-level donut (red/yellow/green), full at-risk customer table</w:t>
            </w:r>
          </w:p>
        </w:tc>
      </w:tr>
      <w:tr>
        <w:tc>
          <w:tcPr>
            <w:tcW w:type="dxa" w:w="28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Customer Lifetime Value</w:t>
            </w:r>
          </w:p>
        </w:tc>
        <w:tc>
          <w:tcPr>
            <w:tcW w:type="dxa" w:w="656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CLV distribution histogram, Top 20 highest-CLV customers table</w:t>
            </w:r>
          </w:p>
        </w:tc>
      </w:tr>
      <w:tr>
        <w:tc>
          <w:tcPr>
            <w:tcW w:type="dxa" w:w="28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Basket Analysis</w:t>
            </w:r>
          </w:p>
        </w:tc>
        <w:tc>
          <w:tcPr>
            <w:tcW w:type="dxa" w:w="656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Sortable rules table (60 rules), confidence vs. lift scatter plot</w:t>
            </w:r>
          </w:p>
        </w:tc>
      </w:tr>
      <w:tr>
        <w:tc>
          <w:tcPr>
            <w:tcW w:type="dxa" w:w="28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Cohort Retention</w:t>
            </w:r>
          </w:p>
        </w:tc>
        <w:tc>
          <w:tcPr>
            <w:tcW w:type="dxa" w:w="656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Color-coded heatmap matrix (25 cohorts × 12 months)</w:t>
            </w:r>
          </w:p>
        </w:tc>
      </w:tr>
      <w:tr>
        <w:tc>
          <w:tcPr>
            <w:tcW w:type="dxa" w:w="28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Revenue Trends</w:t>
            </w:r>
          </w:p>
        </w:tc>
        <w:tc>
          <w:tcPr>
            <w:tcW w:type="dxa" w:w="656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Monthly revenue line chart, month-over-month % change, country revenue treemap</w:t>
            </w:r>
          </w:p>
        </w:tc>
      </w:tr>
      <w:tr>
        <w:tc>
          <w:tcPr>
            <w:tcW w:type="dxa" w:w="28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What-If Simulation</w:t>
            </w:r>
          </w:p>
        </w:tc>
        <w:tc>
          <w:tcPr>
            <w:tcW w:type="dxa" w:w="656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Re-engagement slider (0–100%) to model projected revenue recovery from at-risk customers</w:t>
            </w:r>
          </w:p>
        </w:tc>
      </w:tr>
    </w:tbl>
    <w:p>
      <w:pPr>
        <w:spacing w:after="100" w:before="100" w:line="300"/>
      </w:pPr>
      <w:r>
        <w:rPr>
          <w:rFonts w:ascii="Arial" w:cs="Arial" w:eastAsia="Arial" w:hAnsi="Arial"/>
          <w:b/>
          <w:bCs/>
          <w:sz w:val="22"/>
          <w:szCs w:val="22"/>
        </w:rPr>
        <w:t xml:space="preserve">Row Level Security (RLS) </w:t>
      </w:r>
      <w:r>
        <w:rPr>
          <w:rFonts w:ascii="Arial" w:cs="Arial" w:eastAsia="Arial" w:hAnsi="Arial"/>
          <w:sz w:val="22"/>
          <w:szCs w:val="22"/>
        </w:rPr>
        <w:t xml:space="preserve">restricts data access across 3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Role</w:t>
            </w:r>
          </w:p>
        </w:tc>
        <w:tc>
          <w:tcPr>
            <w:tcW w:type="dxa" w:w="6560"/>
            <w:tcBorders>
              <w:top w:val="single" w:color="B0B0B0" w:sz="1"/>
              <w:left w:val="single" w:color="B0B0B0" w:sz="1"/>
              <w:bottom w:val="single" w:color="B0B0B0" w:sz="1"/>
              <w:right w:val="single" w:color="B0B0B0" w:sz="1"/>
            </w:tcBorders>
            <w:shd w:fill="1F4E79" w:val="clear"/>
            <w:tcMar>
              <w:top w:type="dxa" w:w="80"/>
              <w:left w:type="dxa" w:w="110"/>
              <w:bottom w:type="dxa" w:w="80"/>
              <w:right w:type="dxa" w:w="110"/>
            </w:tcMar>
            <w:vAlign w:val="center"/>
          </w:tcPr>
          <w:p>
            <w:pPr>
              <w:spacing w:after="40" w:before="40"/>
            </w:pPr>
            <w:r>
              <w:rPr>
                <w:rFonts w:ascii="Arial" w:cs="Arial" w:eastAsia="Arial" w:hAnsi="Arial"/>
                <w:b/>
                <w:bCs/>
                <w:color w:val="FFFFFF"/>
                <w:sz w:val="19"/>
                <w:szCs w:val="19"/>
              </w:rPr>
              <w:t xml:space="preserve">Countries</w:t>
            </w:r>
          </w:p>
        </w:tc>
      </w:tr>
      <w:tr>
        <w:tc>
          <w:tcPr>
            <w:tcW w:type="dxa" w:w="28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UK Manager</w:t>
            </w:r>
          </w:p>
        </w:tc>
        <w:tc>
          <w:tcPr>
            <w:tcW w:type="dxa" w:w="656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United Kingdom only</w:t>
            </w:r>
          </w:p>
        </w:tc>
      </w:tr>
      <w:tr>
        <w:tc>
          <w:tcPr>
            <w:tcW w:type="dxa" w:w="280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pPr>
            <w:r>
              <w:rPr>
                <w:rFonts w:ascii="Arial" w:cs="Arial" w:eastAsia="Arial" w:hAnsi="Arial"/>
                <w:sz w:val="19"/>
                <w:szCs w:val="19"/>
              </w:rPr>
              <w:t xml:space="preserve">Europe Manager</w:t>
            </w:r>
          </w:p>
        </w:tc>
        <w:tc>
          <w:tcPr>
            <w:tcW w:type="dxa" w:w="6560"/>
            <w:tcBorders>
              <w:top w:val="single" w:color="B0B0B0" w:sz="1"/>
              <w:left w:val="single" w:color="B0B0B0" w:sz="1"/>
              <w:bottom w:val="single" w:color="B0B0B0" w:sz="1"/>
              <w:right w:val="single" w:color="B0B0B0" w:sz="1"/>
            </w:tcBorders>
            <w:shd w:fill="E8F0FE" w:val="clear"/>
            <w:tcMar>
              <w:top w:type="dxa" w:w="80"/>
              <w:left w:type="dxa" w:w="110"/>
              <w:bottom w:type="dxa" w:w="80"/>
              <w:right w:type="dxa" w:w="110"/>
            </w:tcMar>
          </w:tcPr>
          <w:p>
            <w:pPr>
              <w:spacing w:after="40" w:before="40"/>
              <w:jc w:val="right"/>
            </w:pPr>
            <w:r>
              <w:rPr>
                <w:rFonts w:ascii="Arial" w:cs="Arial" w:eastAsia="Arial" w:hAnsi="Arial"/>
                <w:sz w:val="19"/>
                <w:szCs w:val="19"/>
              </w:rPr>
              <w:t xml:space="preserve">13 European countries</w:t>
            </w:r>
          </w:p>
        </w:tc>
      </w:tr>
      <w:tr>
        <w:tc>
          <w:tcPr>
            <w:tcW w:type="dxa" w:w="280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pPr>
            <w:r>
              <w:rPr>
                <w:rFonts w:ascii="Arial" w:cs="Arial" w:eastAsia="Arial" w:hAnsi="Arial"/>
                <w:sz w:val="19"/>
                <w:szCs w:val="19"/>
              </w:rPr>
              <w:t xml:space="preserve">Rest of World</w:t>
            </w:r>
          </w:p>
        </w:tc>
        <w:tc>
          <w:tcPr>
            <w:tcW w:type="dxa" w:w="6560"/>
            <w:tcBorders>
              <w:top w:val="single" w:color="B0B0B0" w:sz="1"/>
              <w:left w:val="single" w:color="B0B0B0" w:sz="1"/>
              <w:bottom w:val="single" w:color="B0B0B0" w:sz="1"/>
              <w:right w:val="single" w:color="B0B0B0" w:sz="1"/>
            </w:tcBorders>
            <w:tcMar>
              <w:top w:type="dxa" w:w="80"/>
              <w:left w:type="dxa" w:w="110"/>
              <w:bottom w:type="dxa" w:w="80"/>
              <w:right w:type="dxa" w:w="110"/>
            </w:tcMar>
          </w:tcPr>
          <w:p>
            <w:pPr>
              <w:spacing w:after="40" w:before="40"/>
              <w:jc w:val="right"/>
            </w:pPr>
            <w:r>
              <w:rPr>
                <w:rFonts w:ascii="Arial" w:cs="Arial" w:eastAsia="Arial" w:hAnsi="Arial"/>
                <w:sz w:val="19"/>
                <w:szCs w:val="19"/>
              </w:rPr>
              <w:t xml:space="preserve">Australia, Japan, USA, Canada, and others</w:t>
            </w:r>
          </w:p>
        </w:tc>
      </w:tr>
    </w:tbl>
    <w:p>
      <w:pPr>
        <w:pStyle w:val="Heading2"/>
        <w:spacing w:after="80" w:before="180" w:line="276"/>
      </w:pPr>
      <w:r>
        <w:rPr>
          <w:rFonts w:ascii="Arial" w:cs="Arial" w:eastAsia="Arial" w:hAnsi="Arial"/>
          <w:b/>
          <w:bCs/>
          <w:color w:val="1F4E79"/>
          <w:sz w:val="26"/>
          <w:szCs w:val="26"/>
        </w:rPr>
        <w:t xml:space="preserve">5.2 Strategic Recommendations</w:t>
      </w:r>
    </w:p>
    <w:p>
      <w:pPr>
        <w:spacing w:after="60" w:before="100" w:line="300"/>
      </w:pPr>
      <w:r>
        <w:rPr>
          <w:rFonts w:ascii="Arial" w:cs="Arial" w:eastAsia="Arial" w:hAnsi="Arial"/>
          <w:b/>
          <w:bCs/>
          <w:sz w:val="22"/>
          <w:szCs w:val="22"/>
        </w:rPr>
        <w:t xml:space="preserve">1. Retain Champions </w:t>
      </w:r>
      <w:r>
        <w:rPr>
          <w:rFonts w:ascii="Arial" w:cs="Arial" w:eastAsia="Arial" w:hAnsi="Arial"/>
          <w:sz w:val="22"/>
          <w:szCs w:val="22"/>
        </w:rPr>
        <w:t xml:space="preserve">(1,338 customers, avg revenue £8,854). These customers generate the highest revenue and CLV across all segments. A VIP loyalty program with early access to new products, personalized offers, and dedicated account management protects this critical revenue base. Losing just 10% of Champions would cost approximately £1.18M in annual revenue. Quarterly business reviews and proactive outreach during purchase gaps can further reduce attrition risk within this segment.</w:t>
      </w:r>
    </w:p>
    <w:p>
      <w:pPr>
        <w:spacing w:after="60" w:before="100" w:line="300"/>
      </w:pPr>
      <w:r>
        <w:rPr>
          <w:rFonts w:ascii="Arial" w:cs="Arial" w:eastAsia="Arial" w:hAnsi="Arial"/>
          <w:b/>
          <w:bCs/>
          <w:sz w:val="22"/>
          <w:szCs w:val="22"/>
        </w:rPr>
        <w:t xml:space="preserve">2. Win Back At-Risk Customers </w:t>
      </w:r>
      <w:r>
        <w:rPr>
          <w:rFonts w:ascii="Arial" w:cs="Arial" w:eastAsia="Arial" w:hAnsi="Arial"/>
          <w:sz w:val="22"/>
          <w:szCs w:val="22"/>
        </w:rPr>
        <w:t xml:space="preserve">(1,101 flagged, £2.06M historical revenue at stake). Customers inactive for 60–180 days with meaningful purchase history are prime win-back targets, averaging £1,869 per customer. The What-If simulation estimates re-engaging 20% of at-risk customers could recover approximately £411K in annual revenue through targeted email campaigns and personalized discount offers. A tiered approach — stronger incentives for higher-CLV at-risk customers — would maximize recovery while controlling discount costs.</w:t>
      </w:r>
    </w:p>
    <w:p>
      <w:pPr>
        <w:spacing w:after="60" w:before="100" w:line="300"/>
      </w:pPr>
      <w:r>
        <w:rPr>
          <w:rFonts w:ascii="Arial" w:cs="Arial" w:eastAsia="Arial" w:hAnsi="Arial"/>
          <w:b/>
          <w:bCs/>
          <w:sz w:val="22"/>
          <w:szCs w:val="22"/>
        </w:rPr>
        <w:t xml:space="preserve">3. Activate High-CLV Hibernating Customers </w:t>
      </w:r>
      <w:r>
        <w:rPr>
          <w:rFonts w:ascii="Arial" w:cs="Arial" w:eastAsia="Arial" w:hAnsi="Arial"/>
          <w:sz w:val="22"/>
          <w:szCs w:val="22"/>
        </w:rPr>
        <w:t xml:space="preserve">The 2,793 Hibernating customers are not all equal — those with above-average predicted CLV (&gt; £199.87) should receive targeted re-engagement with deep discounts and personalized product recommendations, while low-CLV Hibernating customers should be deprioritized to optimize overall marketing spend and improve campaign ROI. Segmenting this group further by country and product affinity will enable localized, relevant outreach rather than generic mass campaigns.</w:t>
      </w:r>
    </w:p>
    <w:p>
      <w:pPr>
        <w:spacing w:after="60" w:before="100" w:line="300"/>
      </w:pPr>
      <w:r>
        <w:rPr>
          <w:rFonts w:ascii="Arial" w:cs="Arial" w:eastAsia="Arial" w:hAnsi="Arial"/>
          <w:b/>
          <w:bCs/>
          <w:sz w:val="22"/>
          <w:szCs w:val="22"/>
        </w:rPr>
        <w:t xml:space="preserve">4. Deploy Cross-Sell Bundles </w:t>
      </w:r>
      <w:r>
        <w:rPr>
          <w:rFonts w:ascii="Arial" w:cs="Arial" w:eastAsia="Arial" w:hAnsi="Arial"/>
          <w:sz w:val="22"/>
          <w:szCs w:val="22"/>
        </w:rPr>
        <w:t xml:space="preserve">The 60 association rules provide ready-to-implement product recommendations for product pages and checkout flows. The Regency Teacup pair (27.41x lift, 70–80% confidence) is the strongest candidate for immediate bundle promotion. Additional high-lift pairs involving trinket boxes and wooden frames offer further bundling opportunities. These rules should be embedded into the e-commerce platform's recommendation engine and tested through A/B experiments to measure incremental revenue uplift per bundle.</w:t>
      </w:r>
    </w:p>
    <w:p>
      <w:pPr>
        <w:spacing w:after="100" w:before="240" w:line="300"/>
        <w:jc w:val="center"/>
      </w:pPr>
      <w:r>
        <w:rPr>
          <w:rFonts w:ascii="Arial" w:cs="Arial" w:eastAsia="Arial" w:hAnsi="Arial"/>
          <w:i/>
          <w:iCs/>
          <w:color w:val="999999"/>
          <w:sz w:val="19"/>
          <w:szCs w:val="19"/>
        </w:rPr>
        <w:t xml:space="preserve">Built by Squadron Beta | Infotact Solutions | Data Source: UCI Online Retail Dataset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0"/>
      <w:jc w:val="center"/>
    </w:pPr>
    <w:r>
      <w:rPr>
        <w:rFonts w:ascii="Arial" w:cs="Arial" w:eastAsia="Arial" w:hAnsi="Arial"/>
        <w:color w:val="999999"/>
        <w:sz w:val="15"/>
        <w:szCs w:val="15"/>
      </w:rPr>
      <w:t xml:space="preserve">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spacing w:after="0"/>
    </w:pPr>
    <w:r>
      <w:rPr>
        <w:rFonts w:ascii="Arial" w:cs="Arial" w:eastAsia="Arial" w:hAnsi="Arial"/>
        <w:i/>
        <w:iCs/>
        <w:color w:val="999999"/>
        <w:sz w:val="15"/>
        <w:szCs w:val="15"/>
      </w:rPr>
      <w:t xml:space="preserve">Consumer360 — Project Report</w:t>
    </w:r>
    <w:r>
      <w:rPr>
        <w:rFonts w:ascii="Arial" w:cs="Arial" w:eastAsia="Arial" w:hAnsi="Arial"/>
      </w:rPr>
      <w:t xml:space="preserve">	</w:t>
    </w:r>
    <w:r>
      <w:rPr>
        <w:rFonts w:ascii="Arial" w:cs="Arial" w:eastAsia="Arial" w:hAnsi="Arial"/>
        <w:i/>
        <w:iCs/>
        <w:color w:val="999999"/>
        <w:sz w:val="15"/>
        <w:szCs w:val="15"/>
      </w:rPr>
      <w:t xml:space="preserve">Squadron Beta | Infotact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80" w:before="160"/>
      <w:outlineLvl w:val="1"/>
    </w:pPr>
    <w:rPr>
      <w:rFonts w:ascii="Arial" w:cs="Arial" w:eastAsia="Arial" w:hAnsi="Arial"/>
      <w:b/>
      <w:bCs/>
      <w:color w:val="1F4E79"/>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2026-03-15T08:15:36.042Z</dcterms:created>
  <dcterms:modified xsi:type="dcterms:W3CDTF">2026-03-15T08:15:36.043Z</dcterms:modified>
</cp:coreProperties>
</file>

<file path=docProps/custom.xml><?xml version="1.0" encoding="utf-8"?>
<Properties xmlns="http://schemas.openxmlformats.org/officeDocument/2006/custom-properties" xmlns:vt="http://schemas.openxmlformats.org/officeDocument/2006/docPropsVTypes"/>
</file>