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7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31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Компьютерный практикум по статистическому анализу</w:t>
      </w:r>
    </w:p>
    <w:p>
      <w:pPr>
        <w:pStyle w:val="Author"/>
      </w:pPr>
      <w:r>
        <w:t xml:space="preserve">Надежда Александровна Рогожина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для решения задач в непрерывном и дискретном времени.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повторите примеры из раздела 6.2.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для самостоятельной работы (раздел 6.4).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Научные вычисления традиционно требуют высочайшей производительности, однако эксперты по доменам в значительной степени перенесены на более медленные динамические языки для ежедневной работы. К счастью, методы современного языка и компилятора позволяют в основном устранить компромисс производительности и обеспечивать достаточно продуктивную среду для прототипирования и достаточно эффективно для развертывания применений, интенсивных производительности. Язык программирования Julia заполняет эту роль: это гибкий динамический язык, подходящий для научных и численных вычислений, с производительностью, сравнимой с традиционными статичными языками.</w:t>
      </w:r>
    </w:p>
    <w:bookmarkEnd w:id="22"/>
    <w:bookmarkStart w:id="15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75" w:name="примеры"/>
    <w:p>
      <w:pPr>
        <w:pStyle w:val="Heading2"/>
      </w:pPr>
      <w:r>
        <w:t xml:space="preserve">4.1 Примеры</w:t>
      </w:r>
    </w:p>
    <w:p>
      <w:pPr>
        <w:pStyle w:val="FirstParagraph"/>
      </w:pPr>
      <w:r>
        <w:t xml:space="preserve">Первым делом импортируем нужные библиотеки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467100" cy="179831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9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Импорт библиотек</w:t>
            </w:r>
          </w:p>
          <w:bookmarkEnd w:id="26"/>
        </w:tc>
      </w:tr>
    </w:tbl>
    <w:p>
      <w:pPr>
        <w:pStyle w:val="BodyText"/>
      </w:pPr>
      <w:r>
        <w:t xml:space="preserve">Далее, рассмотрим примеры решение модели экспоненциального роста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), решение системы Лоренца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), решение модели Лотки-Вольтерры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467100" cy="210915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09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Модель экспоненциального роста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467100" cy="157489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5748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Модель экспоненциального роста. График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467100" cy="238994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89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Модель экспоненциального роста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467100" cy="153964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539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Модель экспоненциального роста. График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467100" cy="109406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094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Система Лоренца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467100" cy="301102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01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Система Лоренца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467100" cy="183831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38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Система Лоренца. График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467100" cy="18330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3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Система Лоренца. График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467100" cy="194188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418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Модель Лотки-Вольтерры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467100" cy="232982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29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Модель Лотки-Вольтерры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467100" cy="165706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657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Модель Лотки-Вольтерры. График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467100" cy="189114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91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Модель Лотки-Вольтерры. Фазовый портрет</w:t>
            </w:r>
          </w:p>
          <w:bookmarkEnd w:id="74"/>
        </w:tc>
      </w:tr>
    </w:tbl>
    <w:bookmarkEnd w:id="75"/>
    <w:bookmarkStart w:id="152" w:name="задания-для-самостоятельного-выполнения"/>
    <w:p>
      <w:pPr>
        <w:pStyle w:val="Heading2"/>
      </w:pPr>
      <w:r>
        <w:t xml:space="preserve">4.2 Задания для самостоятельного выполнения</w:t>
      </w:r>
    </w:p>
    <w:p>
      <w:pPr>
        <w:pStyle w:val="Compact"/>
        <w:numPr>
          <w:ilvl w:val="0"/>
          <w:numId w:val="1002"/>
        </w:numPr>
      </w:pPr>
      <w:r>
        <w:t xml:space="preserve">Реализовать и проанализировать модель роста численности изолированной популяции (модель Мальтуса,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,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где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изолированной популяции в момент времени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роста популяции,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рождаемости,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коэффициент смертности.</w:t>
      </w:r>
      <w:r>
        <w:t xml:space="preserve"> </w:t>
      </w:r>
      <w:r>
        <w:t xml:space="preserve">Начальные данные и параметры задать самостоятельно и пояснить их выбор. Построить соответствующие графики (в том числе с анимацией).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467100" cy="298946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989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Решение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467100" cy="1838903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38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График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467100" cy="198641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86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Приближение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467100" cy="2032437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032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Анимация</w:t>
            </w:r>
          </w:p>
          <w:bookmarkEnd w:id="91"/>
        </w:tc>
      </w:tr>
    </w:tbl>
    <w:p>
      <w:pPr>
        <w:pStyle w:val="Compact"/>
        <w:numPr>
          <w:ilvl w:val="0"/>
          <w:numId w:val="1003"/>
        </w:numPr>
      </w:pPr>
      <w:r>
        <w:t xml:space="preserve">Реализовать и проанализировать логистическую модель роста популяции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), заданную уравнением: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r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k</m:t>
                  </m:r>
                </m:den>
              </m:f>
            </m:e>
          </m:d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m:oMath>
        <m:r>
          <m:t>r</m:t>
        </m:r>
      </m:oMath>
      <w:r>
        <w:t xml:space="preserve"> </w:t>
      </w:r>
      <w:r>
        <w:t xml:space="preserve">— коэффициент роста популяции,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потенциальная ёмкость экологической системы (предельное значение численности популяции). Начальные данные и параметры задать самостоятельно и пояснить их выбор. Построить соответствующие графики (в том числе с анимацией).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467100" cy="2727222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727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Решение</w:t>
            </w:r>
          </w:p>
          <w:bookmarkEnd w:id="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467100" cy="1795709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95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График</w:t>
            </w:r>
          </w:p>
          <w:bookmarkEnd w:id="99"/>
        </w:tc>
      </w:tr>
    </w:tbl>
    <w:p>
      <w:pPr>
        <w:pStyle w:val="Compact"/>
        <w:numPr>
          <w:ilvl w:val="0"/>
          <w:numId w:val="1004"/>
        </w:numPr>
      </w:pPr>
      <w:r>
        <w:t xml:space="preserve">Реализовать и проанализировать модель эпидемии Кермака–Маккендрика (SIR-модель,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t>s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v</m:t>
                    </m:r>
                    <m:r>
                      <m:t>i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>
                      <m:t>i</m:t>
                    </m:r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t xml:space="preserve">где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восприимчивых к болезни индивидов в момент времени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инфицированных индивидов в момент времени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переболевших индивидов в момент времени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интенсивности контактов индивидов с последующим инфицированием,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— коэффициент интенсивности выздоровления инфицированных индивидов. Численность популяции считается постоянной, т.е. ̇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+</m:t>
        </m:r>
        <m:r>
          <m:rPr>
            <m:sty m:val="p"/>
          </m:rPr>
          <m:t>̇</m:t>
        </m:r>
        <m:acc>
          <m:accPr>
            <m:chr m:val="̇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rPr>
            <m:sty m:val="p"/>
          </m:rPr>
          <m:t>̇</m:t>
        </m:r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 Начальные данные и параметры задать самостоятельно и пояснить их выбор. Построить соответствующие графики (в том числе с анимацией).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467100" cy="25781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578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Решение + график</w:t>
            </w:r>
          </w:p>
          <w:bookmarkEnd w:id="1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467100" cy="1862673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62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Анимация</w:t>
            </w:r>
          </w:p>
          <w:bookmarkEnd w:id="107"/>
        </w:tc>
      </w:tr>
    </w:tbl>
    <w:p>
      <w:pPr>
        <w:pStyle w:val="Compact"/>
        <w:numPr>
          <w:ilvl w:val="0"/>
          <w:numId w:val="1005"/>
        </w:numPr>
      </w:pPr>
      <w:r>
        <w:t xml:space="preserve">Как расширение модели SIR (Susceptible-Infected-Removed) по результатом эпидемии испанки была предложена модель SEIR (Susceptible-Exposed-Infected-Removed,</w:t>
      </w:r>
      <w:r>
        <w:t xml:space="preserve"> 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acc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β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e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acc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/</m:t>
                        </m:r>
                        <m:r>
                          <m:t>b</m:t>
                        </m:r>
                        <m:r>
                          <m:t>e</m:t>
                        </m:r>
                        <m:r>
                          <m:t>t</m:t>
                        </m:r>
                        <m:r>
                          <m:t>a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δ</m:t>
                    </m:r>
                    <m:r>
                      <m:t>e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δ</m:t>
                    </m:r>
                    <m:r>
                      <m:t>e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t xml:space="preserve">Размер популяции сохраняется:</w:t>
      </w:r>
    </w:p>
    <w:p>
      <w:pPr>
        <w:pStyle w:val="Compact"/>
      </w:pPr>
      <m:oMathPara>
        <m:oMathParaPr>
          <m:jc m:val="center"/>
        </m:oMathParaPr>
        <m:oMath>
          <m:r>
            <m:t>𝑠</m:t>
          </m:r>
          <m:d>
            <m:dPr>
              <m:begChr m:val="("/>
              <m:sepChr m:val=""/>
              <m:endChr m:val=")"/>
              <m:grow/>
            </m:dPr>
            <m:e>
              <m:r>
                <m:t>𝑡</m:t>
              </m:r>
            </m:e>
          </m:d>
          <m:r>
            <m:rPr>
              <m:sty m:val="p"/>
            </m:rPr>
            <m:t>+</m:t>
          </m:r>
          <m:r>
            <m:t>𝑒</m:t>
          </m:r>
          <m:d>
            <m:dPr>
              <m:begChr m:val="("/>
              <m:sepChr m:val=""/>
              <m:endChr m:val=")"/>
              <m:grow/>
            </m:dPr>
            <m:e>
              <m:r>
                <m:t>𝑡</m:t>
              </m:r>
            </m:e>
          </m:d>
          <m:r>
            <m:rPr>
              <m:sty m:val="p"/>
            </m:rPr>
            <m:t>+</m:t>
          </m:r>
          <m:r>
            <m:t>𝑖</m:t>
          </m:r>
          <m:d>
            <m:dPr>
              <m:begChr m:val="("/>
              <m:sepChr m:val=""/>
              <m:endChr m:val=")"/>
              <m:grow/>
            </m:dPr>
            <m:e>
              <m:r>
                <m:t>𝑡</m:t>
              </m:r>
            </m:e>
          </m:d>
          <m:r>
            <m:rPr>
              <m:sty m:val="p"/>
            </m:rPr>
            <m:t>+</m:t>
          </m:r>
          <m:r>
            <m:t>𝑟</m:t>
          </m:r>
          <m:d>
            <m:dPr>
              <m:begChr m:val="("/>
              <m:sepChr m:val=""/>
              <m:endChr m:val=")"/>
              <m:grow/>
            </m:dPr>
            <m:e>
              <m:r>
                <m:t>𝑡</m:t>
              </m:r>
            </m:e>
          </m:d>
          <m:r>
            <m:rPr>
              <m:sty m:val="p"/>
            </m:rPr>
            <m:t>=</m:t>
          </m:r>
          <m:r>
            <m:t>𝑁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Исследуйте, сравните с SIR.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467100" cy="2540027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540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Решение + график</w:t>
            </w:r>
          </w:p>
          <w:bookmarkEnd w:id="111"/>
        </w:tc>
      </w:tr>
    </w:tbl>
    <w:p>
      <w:pPr>
        <w:pStyle w:val="Compact"/>
        <w:numPr>
          <w:ilvl w:val="0"/>
          <w:numId w:val="1006"/>
        </w:numPr>
      </w:pPr>
      <w:r>
        <w:t xml:space="preserve">Для дискретной модели Лотки–Вольтерры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,</w:t>
      </w:r>
      <w:r>
        <w:t xml:space="preserve"> 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t xml:space="preserve">с начальными данными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2,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= 1,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5 найдите точку равновесия. Получите</w:t>
      </w:r>
      <w:r>
        <w:t xml:space="preserve"> </w:t>
      </w:r>
      <w:r>
        <w:t xml:space="preserve">и сравните аналитическое и численное решения. Численное решение изобразите на</w:t>
      </w:r>
      <w:r>
        <w:t xml:space="preserve"> </w:t>
      </w:r>
      <w:r>
        <w:t xml:space="preserve">фазовом портрете.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467100" cy="2483089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4830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Решение + график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467100" cy="1463286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463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Фазовый портрет</w:t>
            </w:r>
          </w:p>
          <w:bookmarkEnd w:id="119"/>
        </w:tc>
      </w:tr>
    </w:tbl>
    <w:p>
      <w:pPr>
        <w:pStyle w:val="Compact"/>
        <w:numPr>
          <w:ilvl w:val="0"/>
          <w:numId w:val="1007"/>
        </w:numPr>
      </w:pPr>
      <w:r>
        <w:t xml:space="preserve">Реализовать на языке Julia модель отбора на основе конкурентных отношений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,</w:t>
      </w:r>
      <w:r>
        <w:t xml:space="preserve"> 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t xml:space="preserve">Начальные данные и параметры задать самостоятельно и пояснить их выбор. Построить соответствующие графики (в том числе с анимацией) и фазовый портрет.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467100" cy="232050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2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Решение + график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467100" cy="1805376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05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Анимация</w:t>
            </w:r>
          </w:p>
          <w:bookmarkEnd w:id="127"/>
        </w:tc>
      </w:tr>
    </w:tbl>
    <w:p>
      <w:pPr>
        <w:pStyle w:val="Compact"/>
        <w:numPr>
          <w:ilvl w:val="0"/>
          <w:numId w:val="1008"/>
        </w:numPr>
      </w:pPr>
      <w:r>
        <w:t xml:space="preserve">Реализовать на языке Julia модель консервативного гармонического осциллятора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,</w:t>
      </w:r>
      <w:r>
        <w:t xml:space="preserve"> 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,</w:t>
      </w:r>
      <w:r>
        <w:t xml:space="preserve"> 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acc>
            <m:accPr>
              <m:chr m:val="̇"/>
            </m:accPr>
            <m:e>
              <m:r>
                <m:t>x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где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циклическая частота. Начальные параметры подобрать самостоятельно, выбор пояснить. Построить соответствующие графики (в том числе с анимацией) и фазовый портрет.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467100" cy="2696143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69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Решение + график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467100" cy="1799775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9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Анимация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467100" cy="1814735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14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Фазовый портрет</w:t>
            </w:r>
          </w:p>
          <w:bookmarkEnd w:id="139"/>
        </w:tc>
      </w:tr>
    </w:tbl>
    <w:p>
      <w:pPr>
        <w:pStyle w:val="Compact"/>
        <w:numPr>
          <w:ilvl w:val="0"/>
          <w:numId w:val="1009"/>
        </w:numPr>
      </w:pPr>
      <w:r>
        <w:t xml:space="preserve">Реализовать на языке Julia модель свободных колебаний гармонического осциллятора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,</w:t>
      </w:r>
      <w:r>
        <w:t xml:space="preserve"> 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,</w:t>
      </w:r>
      <w:r>
        <w:t xml:space="preserve"> 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acc>
            <m:accPr>
              <m:chr m:val="̇"/>
            </m:accPr>
            <m:e>
              <m:r>
                <m:t>x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где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циклическая частота,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параметр, характеризующий потери энергии.</w:t>
      </w:r>
      <w:r>
        <w:t xml:space="preserve"> </w:t>
      </w:r>
      <w:r>
        <w:t xml:space="preserve">Начальные параметры подобрать самостоятельно, выбор пояснить. Построить соответствующие графики (в том числе с анимацией) и фазовый портрет.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0"/>
          <w:p>
            <w:pPr>
              <w:pStyle w:val="Compact"/>
              <w:jc w:val="center"/>
            </w:pPr>
            <w:r>
              <w:drawing>
                <wp:inline>
                  <wp:extent cx="3467100" cy="2601458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601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Решение + график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1"/>
          <w:p>
            <w:pPr>
              <w:pStyle w:val="Compact"/>
              <w:jc w:val="center"/>
            </w:pPr>
            <w:r>
              <w:drawing>
                <wp:inline>
                  <wp:extent cx="3467100" cy="1833224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33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Анимация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2"/>
          <w:p>
            <w:pPr>
              <w:pStyle w:val="Compact"/>
              <w:jc w:val="center"/>
            </w:pPr>
            <w:r>
              <w:drawing>
                <wp:inline>
                  <wp:extent cx="3467100" cy="192673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26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Фазовый портрет</w:t>
            </w:r>
          </w:p>
          <w:bookmarkEnd w:id="151"/>
        </w:tc>
      </w:tr>
    </w:tbl>
    <w:bookmarkEnd w:id="152"/>
    <w:bookmarkEnd w:id="153"/>
    <w:bookmarkStart w:id="15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изучены возможности Julia в решении дифференциальных уравнений.</w:t>
      </w:r>
    </w:p>
    <w:bookmarkEnd w:id="154"/>
    <w:bookmarkStart w:id="156" w:name="список-литературы"/>
    <w:p>
      <w:pPr>
        <w:pStyle w:val="Heading1"/>
      </w:pPr>
      <w:r>
        <w:t xml:space="preserve">Список литературы</w:t>
      </w:r>
    </w:p>
    <w:bookmarkStart w:id="155" w:name="refs"/>
    <w:bookmarkEnd w:id="155"/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31" Target="media/rId3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Надежда Александровна Рогожина</dc:creator>
  <dc:language>ru-RU</dc:language>
  <cp:keywords/>
  <dcterms:created xsi:type="dcterms:W3CDTF">2025-11-22T20:27:49Z</dcterms:created>
  <dcterms:modified xsi:type="dcterms:W3CDTF">2025-11-22T20:27:49Z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Компьютерный практикум по статистическому анализу</vt:lpwstr>
  </property>
  <property fmtid="{D5CDD505-2E9C-101B-9397-08002B2CF9AE}" pid="16" name="toc-title">
    <vt:lpwstr>Содержание</vt:lpwstr>
  </property>
</Properties>
</file>