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25.png" ContentType="image/png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Модель эпидемии SIR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</w:t>
      </w:r>
      <w:r>
        <w:t xml:space="preserve"> </w:t>
      </w:r>
      <w:r>
        <w:t xml:space="preserve">1. Первая группа - это восприимчивые к болезни, но пока здоровые особи, обозначим их через S(t).</w:t>
      </w:r>
      <w:r>
        <w:t xml:space="preserve"> </w:t>
      </w:r>
      <w:r>
        <w:t xml:space="preserve">2. Вторая группа – это число 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</w:t>
      </w:r>
      <w:r>
        <w:t xml:space="preserve"> </w:t>
      </w:r>
      <w:r>
        <w:t xml:space="preserve">3.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bookmarkEnd w:id="20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Скорость изменения числа S(t) меняется по следующему закону (рис. 1):</w:t>
      </w:r>
    </w:p>
    <w:bookmarkStart w:id="24" w:name="fig:001"/>
    <w:p>
      <w:pPr>
        <w:pStyle w:val="CaptionedFigure"/>
      </w:pPr>
      <w:r>
        <w:drawing>
          <wp:inline>
            <wp:extent cx="1498386" cy="461042"/>
            <wp:effectExtent b="0" l="0" r="0" t="0"/>
            <wp:docPr descr="Рис. 1: dS/dt" title="" id="22" name="Picture"/>
            <a:graphic>
              <a:graphicData uri="http://schemas.openxmlformats.org/drawingml/2006/picture">
                <pic:pic>
                  <pic:nvPicPr>
                    <pic:cNvPr descr="image/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86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dS/dt</w:t>
      </w:r>
    </w:p>
    <w:bookmarkEnd w:id="24"/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 (рис. 2):</w:t>
      </w:r>
    </w:p>
    <w:bookmarkStart w:id="28" w:name="fig:002"/>
    <w:p>
      <w:pPr>
        <w:pStyle w:val="CaptionedFigure"/>
      </w:pPr>
      <w:r>
        <w:drawing>
          <wp:inline>
            <wp:extent cx="1659751" cy="499462"/>
            <wp:effectExtent b="0" l="0" r="0" t="0"/>
            <wp:docPr descr="Рис. 2: dI/dt" title="" id="26" name="Picture"/>
            <a:graphic>
              <a:graphicData uri="http://schemas.openxmlformats.org/drawingml/2006/picture">
                <pic:pic>
                  <pic:nvPicPr>
                    <pic:cNvPr descr="image/i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51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dI/dt</w:t>
      </w:r>
    </w:p>
    <w:bookmarkEnd w:id="28"/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 остается одинковой в обоих случаях -</w:t>
      </w:r>
      <w:r>
        <w:t xml:space="preserve"> </w:t>
      </w:r>
      <m:oMath>
        <m:r>
          <m:t>β</m:t>
        </m:r>
        <m:r>
          <m:rPr>
            <m:sty m:val="p"/>
          </m:rPr>
          <m:t>*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bookmarkEnd w:id="29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</w:t>
      </w:r>
      <w:r>
        <w:t xml:space="preserve"> </w:t>
      </w:r>
      <w:r>
        <w:rPr>
          <w:rStyle w:val="VerbatimChar"/>
        </w:rPr>
        <w:t xml:space="preserve">Jupyter Notebook</w:t>
      </w:r>
      <w:r>
        <w:t xml:space="preserve">, напишем следующий код для реализации модели:</w:t>
      </w:r>
    </w:p>
    <w:p>
      <w:pPr>
        <w:pStyle w:val="SourceCode"/>
      </w:pPr>
      <w:r>
        <w:rPr>
          <w:rStyle w:val="VerbatimChar"/>
        </w:rPr>
        <w:t xml:space="preserve">N = 20000</w:t>
      </w:r>
      <w:r>
        <w:br/>
      </w:r>
      <w:r>
        <w:rPr>
          <w:rStyle w:val="VerbatimChar"/>
        </w:rPr>
        <w:t xml:space="preserve">t = 0</w:t>
      </w:r>
      <w:r>
        <w:br/>
      </w:r>
      <w:r>
        <w:rPr>
          <w:rStyle w:val="VerbatimChar"/>
        </w:rPr>
        <w:t xml:space="preserve">I0 = 99</w:t>
      </w:r>
      <w:r>
        <w:br/>
      </w:r>
      <w:r>
        <w:rPr>
          <w:rStyle w:val="VerbatimChar"/>
        </w:rPr>
        <w:t xml:space="preserve">R0 = 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alpha = 0.01</w:t>
      </w:r>
      <w:r>
        <w:br/>
      </w:r>
      <w:r>
        <w:rPr>
          <w:rStyle w:val="VerbatimChar"/>
        </w:rPr>
        <w:t xml:space="preserve">beta = 0.02</w:t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p = [alpha, beta]</w:t>
      </w:r>
      <w:r>
        <w:br/>
      </w:r>
      <w:r>
        <w:rPr>
          <w:rStyle w:val="VerbatimChar"/>
        </w:rPr>
        <w:t xml:space="preserve">tspan = (0.0, 200.0)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I0 &lt; I*</w:t>
      </w:r>
      <w:r>
        <w:br/>
      </w:r>
      <w:r>
        <w:rPr>
          <w:rStyle w:val="VerbatimChar"/>
        </w:rPr>
        <w:t xml:space="preserve">function sir(u,p,t)</w:t>
      </w:r>
      <w:r>
        <w:br/>
      </w:r>
      <w:r>
        <w:rPr>
          <w:rStyle w:val="VerbatimChar"/>
        </w:rPr>
        <w:t xml:space="preserve">    (S,I,R) = u</w:t>
      </w:r>
      <w:r>
        <w:br/>
      </w:r>
      <w:r>
        <w:rPr>
          <w:rStyle w:val="VerbatimChar"/>
        </w:rPr>
        <w:t xml:space="preserve">    (alpha, beta) = p</w:t>
      </w:r>
      <w:r>
        <w:br/>
      </w:r>
      <w:r>
        <w:rPr>
          <w:rStyle w:val="VerbatimChar"/>
        </w:rPr>
        <w:t xml:space="preserve">    N = S+I+R</w:t>
      </w:r>
      <w:r>
        <w:br/>
      </w:r>
      <w:r>
        <w:rPr>
          <w:rStyle w:val="VerbatimChar"/>
        </w:rPr>
        <w:t xml:space="preserve">    dS = 0</w:t>
      </w:r>
      <w:r>
        <w:br/>
      </w:r>
      <w:r>
        <w:rPr>
          <w:rStyle w:val="VerbatimChar"/>
        </w:rPr>
        <w:t xml:space="preserve">    dI = -beta*I</w:t>
      </w:r>
      <w:r>
        <w:br/>
      </w:r>
      <w:r>
        <w:rPr>
          <w:rStyle w:val="VerbatimChar"/>
        </w:rPr>
        <w:t xml:space="preserve">    dR = beta*I</w:t>
      </w:r>
      <w:r>
        <w:br/>
      </w:r>
      <w:r>
        <w:rPr>
          <w:rStyle w:val="VerbatimChar"/>
        </w:rPr>
        <w:t xml:space="preserve">    return [dS, dI, dR]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I0 &gt; I*</w:t>
      </w:r>
      <w:r>
        <w:br/>
      </w:r>
      <w:r>
        <w:rPr>
          <w:rStyle w:val="VerbatimChar"/>
        </w:rPr>
        <w:t xml:space="preserve">function sir2(u,p,t)</w:t>
      </w:r>
      <w:r>
        <w:br/>
      </w:r>
      <w:r>
        <w:rPr>
          <w:rStyle w:val="VerbatimChar"/>
        </w:rPr>
        <w:t xml:space="preserve">    (S,I,R) = u</w:t>
      </w:r>
      <w:r>
        <w:br/>
      </w:r>
      <w:r>
        <w:rPr>
          <w:rStyle w:val="VerbatimChar"/>
        </w:rPr>
        <w:t xml:space="preserve">    (alpha, beta) = p</w:t>
      </w:r>
      <w:r>
        <w:br/>
      </w:r>
      <w:r>
        <w:rPr>
          <w:rStyle w:val="VerbatimChar"/>
        </w:rPr>
        <w:t xml:space="preserve">    N = S+I+R</w:t>
      </w:r>
      <w:r>
        <w:br/>
      </w:r>
      <w:r>
        <w:rPr>
          <w:rStyle w:val="VerbatimChar"/>
        </w:rPr>
        <w:t xml:space="preserve">    dS = -alpha*S</w:t>
      </w:r>
      <w:r>
        <w:br/>
      </w:r>
      <w:r>
        <w:rPr>
          <w:rStyle w:val="VerbatimChar"/>
        </w:rPr>
        <w:t xml:space="preserve">    dI = alpha*S - beta*I</w:t>
      </w:r>
      <w:r>
        <w:br/>
      </w:r>
      <w:r>
        <w:rPr>
          <w:rStyle w:val="VerbatimChar"/>
        </w:rPr>
        <w:t xml:space="preserve">    dR = beta*I</w:t>
      </w:r>
      <w:r>
        <w:br/>
      </w:r>
      <w:r>
        <w:rPr>
          <w:rStyle w:val="VerbatimChar"/>
        </w:rPr>
        <w:t xml:space="preserve">    return [dS, dI, dR]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Здесь приведены 2 ветки:</w:t>
      </w:r>
      <w:r>
        <w:t xml:space="preserve"> </w:t>
      </w:r>
      <w:r>
        <w:t xml:space="preserve">- при I0&lt;=I</w:t>
      </w:r>
      <w:r>
        <w:rPr>
          <w:i/>
          <w:iCs/>
        </w:rPr>
        <w:t xml:space="preserve"> </w:t>
      </w:r>
      <w:r>
        <w:rPr>
          <w:i/>
          <w:iCs/>
        </w:rPr>
        <w:t xml:space="preserve">- при I0&gt;I</w:t>
      </w:r>
    </w:p>
    <w:p>
      <w:pPr>
        <w:pStyle w:val="BodyText"/>
      </w:pPr>
      <w:r>
        <w:t xml:space="preserve">Визуализировав результаты вычисления (функций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), получили следующие результаты (рис. 3, рис. 4):</w:t>
      </w:r>
    </w:p>
    <w:bookmarkStart w:id="33" w:name="fig:003"/>
    <w:p>
      <w:pPr>
        <w:pStyle w:val="CaptionedFigure"/>
      </w:pPr>
      <w:r>
        <w:drawing>
          <wp:inline>
            <wp:extent cx="3733800" cy="2904066"/>
            <wp:effectExtent b="0" l="0" r="0" t="0"/>
            <wp:docPr descr="Рис. 3: sir1" title="" id="31" name="Picture"/>
            <a:graphic>
              <a:graphicData uri="http://schemas.openxmlformats.org/drawingml/2006/picture">
                <pic:pic>
                  <pic:nvPicPr>
                    <pic:cNvPr descr="image/sir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sir1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904066"/>
            <wp:effectExtent b="0" l="0" r="0" t="0"/>
            <wp:docPr descr="Рис. 4: sir2" title="" id="35" name="Picture"/>
            <a:graphic>
              <a:graphicData uri="http://schemas.openxmlformats.org/drawingml/2006/picture">
                <pic:pic>
                  <pic:nvPicPr>
                    <pic:cNvPr descr="image/sir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sir2</w:t>
      </w:r>
    </w:p>
    <w:bookmarkEnd w:id="37"/>
    <w:p>
      <w:pPr>
        <w:pStyle w:val="BodyText"/>
      </w:pPr>
      <w:r>
        <w:t xml:space="preserve">Второй этап работы - проделать те же действия в OpenModelica. Для первого случая (I0&lt;=I*) был реализован следующий код (рис. 5):</w:t>
      </w:r>
    </w:p>
    <w:bookmarkStart w:id="41" w:name="fig:005"/>
    <w:p>
      <w:pPr>
        <w:pStyle w:val="CaptionedFigure"/>
      </w:pPr>
      <w:r>
        <w:drawing>
          <wp:inline>
            <wp:extent cx="2789304" cy="2397418"/>
            <wp:effectExtent b="0" l="0" r="0" t="0"/>
            <wp:docPr descr="Рис. 5: Код I0&lt;=I*" title="" id="39" name="Picture"/>
            <a:graphic>
              <a:graphicData uri="http://schemas.openxmlformats.org/drawingml/2006/picture">
                <pic:pic>
                  <pic:nvPicPr>
                    <pic:cNvPr descr="image/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I0&lt;=I*</w:t>
      </w:r>
    </w:p>
    <w:bookmarkEnd w:id="41"/>
    <w:p>
      <w:pPr>
        <w:pStyle w:val="BodyText"/>
      </w:pPr>
      <w:r>
        <w:t xml:space="preserve">И был получен следующий результат (рис. 6):</w:t>
      </w:r>
    </w:p>
    <w:bookmarkStart w:id="45" w:name="fig:006"/>
    <w:p>
      <w:pPr>
        <w:pStyle w:val="CaptionedFigure"/>
      </w:pPr>
      <w:r>
        <w:drawing>
          <wp:inline>
            <wp:extent cx="3733800" cy="1533801"/>
            <wp:effectExtent b="0" l="0" r="0" t="0"/>
            <wp:docPr descr="Рис. 6: I0&lt;=I*" title="" id="43" name="Picture"/>
            <a:graphic>
              <a:graphicData uri="http://schemas.openxmlformats.org/drawingml/2006/picture">
                <pic:pic>
                  <pic:nvPicPr>
                    <pic:cNvPr descr="image/1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I0&lt;=I*</w:t>
      </w:r>
    </w:p>
    <w:bookmarkEnd w:id="45"/>
    <w:p>
      <w:pPr>
        <w:pStyle w:val="BodyText"/>
      </w:pPr>
      <w:r>
        <w:t xml:space="preserve">Для второго случая (I0&gt;I*) также был реализован код (рис. 7):</w:t>
      </w:r>
    </w:p>
    <w:bookmarkStart w:id="49" w:name="fig:007"/>
    <w:p>
      <w:pPr>
        <w:pStyle w:val="CaptionedFigure"/>
      </w:pPr>
      <w:r>
        <w:drawing>
          <wp:inline>
            <wp:extent cx="2804672" cy="2597203"/>
            <wp:effectExtent b="0" l="0" r="0" t="0"/>
            <wp:docPr descr="Рис. 7: Код для I0&gt;I*" title="" id="47" name="Picture"/>
            <a:graphic>
              <a:graphicData uri="http://schemas.openxmlformats.org/drawingml/2006/picture">
                <pic:pic>
                  <pic:nvPicPr>
                    <pic:cNvPr descr="image/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для I0&gt;I*</w:t>
      </w:r>
    </w:p>
    <w:bookmarkEnd w:id="49"/>
    <w:p>
      <w:pPr>
        <w:pStyle w:val="BodyText"/>
      </w:pPr>
      <w:r>
        <w:t xml:space="preserve">И визуализирован результат (рис. 8):</w:t>
      </w:r>
    </w:p>
    <w:bookmarkStart w:id="53" w:name="fig:008"/>
    <w:p>
      <w:pPr>
        <w:pStyle w:val="CaptionedFigure"/>
      </w:pPr>
      <w:r>
        <w:drawing>
          <wp:inline>
            <wp:extent cx="3733800" cy="1533801"/>
            <wp:effectExtent b="0" l="0" r="0" t="0"/>
            <wp:docPr descr="Рис. 8: I0&gt;I*" title="" id="51" name="Picture"/>
            <a:graphic>
              <a:graphicData uri="http://schemas.openxmlformats.org/drawingml/2006/picture">
                <pic:pic>
                  <pic:nvPicPr>
                    <pic:cNvPr descr="image/2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I0&gt;I*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смоделировали модель эпидемии SIR с помощью языка программирования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и средства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 </w:t>
      </w:r>
      <w:r>
        <w:t xml:space="preserve">и получили одинаковый результат.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Надежда Александровна Рогожина</dc:creator>
  <dc:language>ru-RU</dc:language>
  <cp:keywords/>
  <dcterms:created xsi:type="dcterms:W3CDTF">2025-05-03T16:12:27Z</dcterms:created>
  <dcterms:modified xsi:type="dcterms:W3CDTF">2025-05-03T16:12:27Z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эпидемии SIR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