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Исследование плавления и затвердевания малых кластеров</w:t>
      </w:r>
    </w:p>
    <w:p>
      <w:pPr>
        <w:pStyle w:val="Subtitle"/>
      </w:pPr>
      <w:r>
        <w:t xml:space="preserve">Отчет по 2 этапу проекта</w:t>
      </w:r>
    </w:p>
    <w:p>
      <w:pPr>
        <w:pStyle w:val="Author"/>
      </w:pPr>
      <w:r>
        <w:t xml:space="preserve">Лихтенштейн А.А., Рогожина Н.А., Шилоносов Д.В., Гэинэ 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этапа является изучение теоретических основ метода молекулярной динамики и построение модели для исследования процессов плавления и затвердевания малых кластеров с</w:t>
      </w:r>
      <w:r>
        <w:t xml:space="preserve"> </w:t>
      </w:r>
      <w:r>
        <w:t xml:space="preserve">“магическими”</w:t>
      </w:r>
      <w:r>
        <w:t xml:space="preserve"> </w:t>
      </w:r>
      <w:r>
        <w:t xml:space="preserve">числами частиц.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теоретические основы метода молекулярной динамики</w:t>
      </w:r>
    </w:p>
    <w:p>
      <w:pPr>
        <w:pStyle w:val="Compact"/>
        <w:numPr>
          <w:ilvl w:val="0"/>
          <w:numId w:val="1001"/>
        </w:numPr>
      </w:pPr>
      <w:r>
        <w:t xml:space="preserve">Рассмотреть особенности фазовых переходов в малых кластерах</w:t>
      </w:r>
    </w:p>
    <w:p>
      <w:pPr>
        <w:pStyle w:val="Compact"/>
        <w:numPr>
          <w:ilvl w:val="0"/>
          <w:numId w:val="1001"/>
        </w:numPr>
      </w:pPr>
      <w:r>
        <w:t xml:space="preserve">Разработать физическую модель для исследования плавления и затвердевания малых кластеров с</w:t>
      </w:r>
      <w:r>
        <w:t xml:space="preserve"> </w:t>
      </w:r>
      <w:r>
        <w:t xml:space="preserve">“магическими”</w:t>
      </w:r>
      <w:r>
        <w:t xml:space="preserve"> </w:t>
      </w:r>
      <w:r>
        <w:t xml:space="preserve">числами частиц (7, 19, 37)</w:t>
      </w:r>
    </w:p>
    <w:p>
      <w:pPr>
        <w:pStyle w:val="Compact"/>
        <w:numPr>
          <w:ilvl w:val="0"/>
          <w:numId w:val="1001"/>
        </w:numPr>
      </w:pPr>
      <w:r>
        <w:t xml:space="preserve">Определить необходимые параметры и алгоритмы для дальнейшего моделирования</w:t>
      </w:r>
    </w:p>
    <w:bookmarkEnd w:id="21"/>
    <w:bookmarkStart w:id="23" w:name="алгоритмы-используемые-в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Алгоритмы, используемые в работе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Алгоритм генерации гексагональных кластеров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Цель</w:t>
      </w:r>
      <w:r>
        <w:t xml:space="preserve">: Создание начальной конфигурации кластера с</w:t>
      </w:r>
      <w:r>
        <w:t xml:space="preserve"> </w:t>
      </w:r>
      <w:r>
        <w:t xml:space="preserve">“магическими”</w:t>
      </w:r>
      <w:r>
        <w:t xml:space="preserve"> </w:t>
      </w:r>
      <w:r>
        <w:t xml:space="preserve">числами частиц (7, 19, 37).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Шаги</w:t>
      </w:r>
      <w:r>
        <w:t xml:space="preserve">:</w:t>
      </w:r>
    </w:p>
    <w:p>
      <w:pPr>
        <w:pStyle w:val="Compact"/>
        <w:numPr>
          <w:ilvl w:val="2"/>
          <w:numId w:val="1004"/>
        </w:numPr>
      </w:pPr>
      <w:r>
        <w:t xml:space="preserve">Центральная частица размещается в начале координат.</w:t>
      </w:r>
    </w:p>
    <w:p>
      <w:pPr>
        <w:pStyle w:val="Compact"/>
        <w:numPr>
          <w:ilvl w:val="2"/>
          <w:numId w:val="1004"/>
        </w:numPr>
      </w:pPr>
      <w:r>
        <w:t xml:space="preserve">Последующие частицы добавляются концентрическими оболочками вокруг центра.</w:t>
      </w:r>
    </w:p>
    <w:p>
      <w:pPr>
        <w:pStyle w:val="Compact"/>
        <w:numPr>
          <w:ilvl w:val="2"/>
          <w:numId w:val="1004"/>
        </w:numPr>
      </w:pPr>
      <w:r>
        <w:t xml:space="preserve">Для каждой оболочки рассчитываются координаты частиц с использованием углов и радиусов, обеспечивающих гексагональную симметрию.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Формула</w:t>
      </w:r>
      <w:r>
        <w:t xml:space="preserve">: Координаты частиц в оболочке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n</m:t>
          </m:r>
          <m:r>
            <m:t>g</m:t>
          </m:r>
          <m:r>
            <m:t>l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  <m:r>
                <m:t>i</m:t>
              </m:r>
            </m:num>
            <m:den>
              <m:r>
                <m:t>6</m:t>
              </m:r>
              <m:r>
                <m:rPr>
                  <m:sty m:val="p"/>
                </m:rPr>
                <m:t>⋅</m:t>
              </m:r>
              <m:r>
                <m:t>s</m:t>
              </m:r>
              <m:r>
                <m:t>h</m:t>
              </m:r>
              <m:r>
                <m:t>e</m:t>
              </m:r>
              <m:r>
                <m:t>l</m:t>
              </m:r>
              <m:r>
                <m:t>l</m:t>
              </m:r>
            </m:den>
          </m:f>
          <m:r>
            <m:rPr>
              <m:sty m:val="p"/>
            </m:rPr>
            <m:t>,</m:t>
          </m:r>
          <m:r>
            <m:t>p</m:t>
          </m:r>
          <m:r>
            <m:t>o</m:t>
          </m:r>
          <m:r>
            <m:t>s</m:t>
          </m:r>
          <m:r>
            <m:t>i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s</m:t>
          </m:r>
          <m:d>
            <m:dPr>
              <m:begChr m:val="["/>
              <m:sepChr m:val=""/>
              <m:endChr m:val="]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s</m:t>
          </m:r>
          <m:r>
            <m:t>h</m:t>
          </m:r>
          <m:r>
            <m:t>e</m:t>
          </m:r>
          <m:r>
            <m:t>l</m:t>
          </m:r>
          <m:r>
            <m:t>l</m:t>
          </m:r>
          <m:r>
            <m:rPr>
              <m:sty m:val="p"/>
            </m:rPr>
            <m:t>⋅</m:t>
          </m:r>
          <m:r>
            <m:t>b</m:t>
          </m:r>
          <m:r>
            <m:rPr>
              <m:sty m:val="p"/>
            </m:rPr>
            <m:t>⋅</m:t>
          </m:r>
          <m:r>
            <m:rPr>
              <m:sty m:val="p"/>
            </m:rPr>
            <m:t>cos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n</m:t>
              </m:r>
              <m:r>
                <m:t>g</m:t>
              </m:r>
              <m:r>
                <m:t>l</m:t>
              </m:r>
              <m:r>
                <m:t>e</m:t>
              </m:r>
            </m:e>
          </m:d>
          <m:r>
            <m:rPr>
              <m:sty m:val="p"/>
            </m:rPr>
            <m:t>,</m:t>
          </m:r>
          <m:r>
            <m:t>s</m:t>
          </m:r>
          <m:r>
            <m:t>h</m:t>
          </m:r>
          <m:r>
            <m:t>e</m:t>
          </m:r>
          <m:r>
            <m:t>l</m:t>
          </m:r>
          <m:r>
            <m:t>l</m:t>
          </m:r>
          <m:r>
            <m:rPr>
              <m:sty m:val="p"/>
            </m:rPr>
            <m:t>⋅</m:t>
          </m:r>
          <m:r>
            <m:t>b</m:t>
          </m:r>
          <m:r>
            <m:rPr>
              <m:sty m:val="p"/>
            </m:rPr>
            <m:t>⋅</m:t>
          </m:r>
          <m:r>
            <m:rPr>
              <m:sty m:val="p"/>
            </m:rPr>
            <m:t>sin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n</m:t>
              </m:r>
              <m:r>
                <m:t>g</m:t>
              </m:r>
              <m:r>
                <m:t>l</m:t>
              </m:r>
              <m:r>
                <m:t>e</m:t>
              </m:r>
            </m:e>
          </m:d>
        </m:oMath>
      </m:oMathPara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Алгоритм Верле (скоростная форма)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Цель</w:t>
      </w:r>
      <w:r>
        <w:t xml:space="preserve">: Интегрирование уравнений движения частиц с высокой точностью.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Шаги</w:t>
      </w:r>
      <w:r>
        <w:t xml:space="preserve">:</w:t>
      </w:r>
    </w:p>
    <w:p>
      <w:pPr>
        <w:pStyle w:val="Compact"/>
        <w:numPr>
          <w:ilvl w:val="2"/>
          <w:numId w:val="1006"/>
        </w:numPr>
      </w:pPr>
      <w:r>
        <w:t xml:space="preserve">Обновление скоростей на половину шага: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+</m:t>
          </m:r>
          <m:sSubSup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Δ</m:t>
              </m:r>
              <m:r>
                <m:t>t</m:t>
              </m:r>
            </m:num>
            <m:den>
              <m:r>
                <m:t>2</m:t>
              </m:r>
            </m:den>
          </m:f>
        </m:oMath>
      </m:oMathPara>
    </w:p>
    <w:p>
      <w:pPr>
        <w:pStyle w:val="Compact"/>
        <w:numPr>
          <w:ilvl w:val="2"/>
          <w:numId w:val="1006"/>
        </w:numPr>
      </w:pPr>
      <w:r>
        <w:t xml:space="preserve">Обновление позиций: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</m:sSubSup>
          <m:r>
            <m:rPr>
              <m:sty m:val="p"/>
            </m:rPr>
            <m:t>=</m:t>
          </m:r>
          <m:sSubSup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+</m:t>
          </m:r>
          <m:sSubSup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⋅</m:t>
          </m:r>
          <m:r>
            <m:t>Δ</m:t>
          </m:r>
          <m:r>
            <m:t>t</m:t>
          </m:r>
        </m:oMath>
      </m:oMathPara>
    </w:p>
    <w:p>
      <w:pPr>
        <w:pStyle w:val="Compact"/>
        <w:numPr>
          <w:ilvl w:val="2"/>
          <w:numId w:val="1006"/>
        </w:numPr>
      </w:pPr>
      <w:r>
        <w:t xml:space="preserve">Пересчёт ускорений на основе новых позиций.</w:t>
      </w:r>
    </w:p>
    <w:p>
      <w:pPr>
        <w:pStyle w:val="Compact"/>
        <w:numPr>
          <w:ilvl w:val="2"/>
          <w:numId w:val="1006"/>
        </w:numPr>
      </w:pPr>
      <w:r>
        <w:t xml:space="preserve">Завершение обновления скоростей: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</m:sSubSup>
          <m:r>
            <m:rPr>
              <m:sty m:val="p"/>
            </m:rPr>
            <m:t>=</m:t>
          </m:r>
          <m:sSubSup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+</m:t>
          </m:r>
          <m:sSubSup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</m:sSub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Δ</m:t>
              </m:r>
              <m:r>
                <m:t>t</m:t>
              </m:r>
            </m:num>
            <m:den>
              <m:r>
                <m:t>2</m:t>
              </m:r>
            </m:den>
          </m:f>
        </m:oMath>
      </m:oMathPara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Расчёт термодинамических характеристик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Температура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t>c</m:t>
                              </m:r>
                              <m: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e>
          </m:nary>
        </m:oMath>
      </m:oMathPara>
    </w:p>
    <w:p>
      <w:pPr>
        <w:pStyle w:val="Compact"/>
        <w:numPr>
          <w:ilvl w:val="1"/>
          <w:numId w:val="1000"/>
        </w:numPr>
      </w:pPr>
      <w:r>
        <w:t xml:space="preserve">где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c</m:t>
            </m:r>
            <m:r>
              <m:t>m</m:t>
            </m:r>
          </m:sub>
        </m:sSub>
      </m:oMath>
      <w:r>
        <w:t xml:space="preserve"> </w:t>
      </w:r>
      <w:r>
        <w:t xml:space="preserve">— скорость центра масс кластера, k — постоянная Больцмана.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Флуктуации длины связи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&lt;</m:t>
                  </m:r>
                  <m:r>
                    <m:t>j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⟨</m:t>
                      </m:r>
                      <m:sSubSup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⟩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⟨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sSup>
                        <m:e>
                          <m:r>
                            <m:rPr>
                              <m:sty m:val="p"/>
                            </m:rPr>
                            <m:t>⟩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⟨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⟩</m:t>
                      </m:r>
                    </m:den>
                  </m:f>
                </m:e>
              </m:nary>
            </m:e>
          </m:rad>
        </m:oMath>
      </m:oMathPara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Теплоемкость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E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Анализ фазовых переходов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Методы</w:t>
      </w:r>
      <w:r>
        <w:t xml:space="preserve">: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Пик теплоемкости</w:t>
      </w:r>
      <w:r>
        <w:t xml:space="preserve">: Определяется через производную энергии по температуре.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Критерий Линдеманна</w:t>
      </w:r>
      <w:r>
        <w:t xml:space="preserve">: Плавление фиксируется при превышении порога флуктуаций длины связи (обычно 0.1).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Гистерезис</w:t>
      </w:r>
      <w:r>
        <w:t xml:space="preserve">: Сравнение кривых нагрева и охлаждения для выявления различий.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Визуализация данных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Методы</w:t>
      </w:r>
      <w:r>
        <w:t xml:space="preserve">:</w:t>
      </w:r>
    </w:p>
    <w:p>
      <w:pPr>
        <w:pStyle w:val="Compact"/>
        <w:numPr>
          <w:ilvl w:val="2"/>
          <w:numId w:val="1011"/>
        </w:numPr>
      </w:pPr>
      <w:r>
        <w:t xml:space="preserve">Построение графиков зависимостей (температура, энергия, теплоемкость).</w:t>
      </w:r>
    </w:p>
    <w:p>
      <w:pPr>
        <w:pStyle w:val="Compact"/>
        <w:numPr>
          <w:ilvl w:val="2"/>
          <w:numId w:val="1011"/>
        </w:numPr>
      </w:pPr>
      <w:r>
        <w:t xml:space="preserve">Анимация движения частиц с отображением связей.</w:t>
      </w:r>
    </w:p>
    <w:p>
      <w:pPr>
        <w:pStyle w:val="Compact"/>
        <w:numPr>
          <w:ilvl w:val="2"/>
          <w:numId w:val="1011"/>
        </w:numPr>
      </w:pPr>
      <w:r>
        <w:t xml:space="preserve">Парная корреляционная функция для анализа структуры.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Анализ зависимости температуры плавления от размера кластера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Формула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l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b</m:t>
              </m:r>
              <m:r>
                <m:t>u</m:t>
              </m:r>
              <m:r>
                <m:t>l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sup>
              </m:sSup>
            </m:den>
          </m:f>
        </m:oMath>
      </m:oMathPara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Метод</w:t>
      </w:r>
      <w:r>
        <w:t xml:space="preserve">: Линейная регрессия для определения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.</w:t>
      </w:r>
    </w:p>
    <w:bookmarkStart w:id="22" w:name="ключевые-особенности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Ключевые особенности: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Стабильность</w:t>
      </w:r>
      <w:r>
        <w:t xml:space="preserve">: Ограничение максимальных сил и скоростей для предотвращения численных ошибок.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Гибкость</w:t>
      </w:r>
      <w:r>
        <w:t xml:space="preserve">: Поддержка различных</w:t>
      </w:r>
      <w:r>
        <w:t xml:space="preserve"> </w:t>
      </w:r>
      <w:r>
        <w:t xml:space="preserve">“магических”</w:t>
      </w:r>
      <w:r>
        <w:t xml:space="preserve"> </w:t>
      </w:r>
      <w:r>
        <w:t xml:space="preserve">чисел и размеров кластеров.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Автоматизация</w:t>
      </w:r>
      <w:r>
        <w:t xml:space="preserve">: Интеграция всех этапов (генерация, моделирование, анализ, визуализация) в единый pipeline (</w:t>
      </w:r>
      <w:r>
        <w:rPr>
          <w:rStyle w:val="VerbatimChar"/>
        </w:rPr>
        <w:t xml:space="preserve">main.py</w:t>
      </w:r>
      <w:r>
        <w:t xml:space="preserve">).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Эти алгоритмы позволяют исследовать уникальные свойства нанокластеров, такие как оболочечное плавление и размерные эффекты, что соответствует целям работы.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Исследование плавления и затвердевания малых кластеров</dc:title>
  <dc:creator>Лихтенштейн А.А., Рогожина Н.А., Шилоносов Д.В., Гэинэ А.</dc:creator>
  <dc:language>ru-RU</dc:language>
  <cp:keywords/>
  <dcterms:created xsi:type="dcterms:W3CDTF">2025-04-12T12:24:34Z</dcterms:created>
  <dcterms:modified xsi:type="dcterms:W3CDTF">2025-04-12T12:24:34Z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Отчет по 2 этапу проекта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