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Проанализировать разницу между 3-мя протоколами передачи данных:</w:t>
      </w:r>
      <w:r>
        <w:t xml:space="preserve"> </w:t>
      </w:r>
      <w:r>
        <w:t xml:space="preserve">- TCP Reno</w:t>
      </w:r>
      <w:r>
        <w:t xml:space="preserve"> </w:t>
      </w:r>
      <w:r>
        <w:t xml:space="preserve">- TCP NewReno</w:t>
      </w:r>
      <w:r>
        <w:t xml:space="preserve"> </w:t>
      </w:r>
      <w:r>
        <w:t xml:space="preserve">- TCP Vegas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приведенной в лабораторной работе модели с 6 узлами, изменить типы протоколов и проанализировать результаты. Поменять визуализацию графиков.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 соединения.</w:t>
      </w:r>
    </w:p>
    <w:p>
      <w:pPr>
        <w:pStyle w:val="Compact"/>
        <w:numPr>
          <w:ilvl w:val="0"/>
          <w:numId w:val="1001"/>
        </w:numPr>
      </w:pPr>
      <w:r>
        <w:t xml:space="preserve">Флаг Указатель срочности (Urgent Pointer, URG) устанавливается в 1 в случае использования поля Указатель на срочные данные.</w:t>
      </w:r>
    </w:p>
    <w:p>
      <w:pPr>
        <w:pStyle w:val="Compact"/>
        <w:numPr>
          <w:ilvl w:val="0"/>
          <w:numId w:val="1001"/>
        </w:numPr>
      </w:pPr>
      <w:r>
        <w:t xml:space="preserve">Флаг Подтверждение (Acknowledgment, ACK) устанавливается в 1 в случае, если поле Номер подтверждения (Acknowledgement Number) содержит данные. В противном случае это поле игнорируется.</w:t>
      </w:r>
    </w:p>
    <w:p>
      <w:pPr>
        <w:pStyle w:val="Compact"/>
        <w:numPr>
          <w:ilvl w:val="0"/>
          <w:numId w:val="1001"/>
        </w:numPr>
      </w:pPr>
      <w:r>
        <w:t xml:space="preserve">Флаг Выталкивание (Push, PSH) означает, что принимающий стек TCP должен немедленно информировать приложение о поступивших данных, а не ждать, пока буфер заполниться.</w:t>
      </w:r>
    </w:p>
    <w:p>
      <w:pPr>
        <w:pStyle w:val="Compact"/>
        <w:numPr>
          <w:ilvl w:val="0"/>
          <w:numId w:val="1001"/>
        </w:numPr>
      </w:pPr>
      <w:r>
        <w:t xml:space="preserve">Флаг Сброс (Reset, RST) используется для отмены соединения из-за ошибки приложения, отказа от неверного сегмента, попытки создать соединение при отсутствии затребованного сервиса.</w:t>
      </w:r>
    </w:p>
    <w:p>
      <w:pPr>
        <w:pStyle w:val="Compact"/>
        <w:numPr>
          <w:ilvl w:val="0"/>
          <w:numId w:val="1001"/>
        </w:numPr>
      </w:pPr>
      <w:r>
        <w:t xml:space="preserve">Флаг Синхронизация (Synchronize, SYN) устанавливается при инициировании соединения и синхронизации порядкового номера.</w:t>
      </w:r>
    </w:p>
    <w:p>
      <w:pPr>
        <w:pStyle w:val="Compact"/>
        <w:numPr>
          <w:ilvl w:val="0"/>
          <w:numId w:val="1001"/>
        </w:numPr>
      </w:pPr>
      <w:r>
        <w:t xml:space="preserve">Флаг Завершение (Finished, FIN) используется для разрыва соединения. Он указывает, что отправитель закончил передачу данных.</w:t>
      </w:r>
    </w:p>
    <w:p>
      <w:pPr>
        <w:pStyle w:val="FirstParagraph"/>
      </w:pPr>
      <w:r>
        <w:t xml:space="preserve">Управление потоком в протоколе TCP осуществляется при помощи скользящего окна переменного размера:</w:t>
      </w:r>
      <w:r>
        <w:t xml:space="preserve"> </w:t>
      </w:r>
      <w:r>
        <w:t xml:space="preserve">- поле Размер окна (Window) (длина 16 бит) содержит количество байт, которое может быть послано после байта, получение которого уже подтверждено;</w:t>
      </w:r>
      <w:r>
        <w:t xml:space="preserve"> </w:t>
      </w:r>
      <w:r>
        <w:t xml:space="preserve">- если значение этого поля равно нулю, это означает, что все байты, вплоть до байта с номером Номер подтверждения - 1, получены, но получатель отказывается принимать дальнейшие данные;</w:t>
      </w:r>
      <w:r>
        <w:t xml:space="preserve"> </w:t>
      </w:r>
      <w:r>
        <w:t xml:space="preserve">- разрешение на дальнейшую передачу может быть выдано отправкой сегмента с таким же значением поля Номер подтверждения и ненулевым значением поля Размер окна.</w:t>
      </w:r>
    </w:p>
    <w:p>
      <w:pPr>
        <w:pStyle w:val="BodyText"/>
      </w:pPr>
      <w:r>
        <w:t xml:space="preserve">Регулирование трафика в TCP:</w:t>
      </w:r>
      <w:r>
        <w:t xml:space="preserve"> </w:t>
      </w:r>
      <w:r>
        <w:t xml:space="preserve">- контроль доставки — отслеживает заполнение входного буфера получателя с помощью параметра Размер окна (Window);</w:t>
      </w:r>
      <w:r>
        <w:t xml:space="preserve"> </w:t>
      </w:r>
      <w:r>
        <w:t xml:space="preserve">- контроль перегрузки — регистрирует перегрузку канала и связанные с этим потери, а также понижает интенсивность трафика с помощью Окна перегрузки (Congestion Window, CWnd) и Порога медленного старта (Slow Start Threshold, SSThreth).</w:t>
      </w:r>
    </w:p>
    <w:p>
      <w:pPr>
        <w:pStyle w:val="BodyText"/>
      </w:pPr>
      <w:r>
        <w:t xml:space="preserve">Например, в табл. 1 приведено краткое описание анализируемых протоколов передачи данных.</w:t>
      </w:r>
    </w:p>
    <w:bookmarkStart w:id="22" w:name="tbl:std-dir"/>
    <w:p>
      <w:pPr>
        <w:pStyle w:val="TableCaption"/>
      </w:pPr>
      <w:r>
        <w:t xml:space="preserve">Таблица 1: Описание некоторых протоколов передачи данных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протоколов передачи данных"/>
      </w:tblPr>
      <w:tblGrid>
        <w:gridCol w:w="1584"/>
        <w:gridCol w:w="1944"/>
        <w:gridCol w:w="2088"/>
        <w:gridCol w:w="230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TCP Reno</w:t>
            </w:r>
          </w:p>
        </w:tc>
        <w:tc>
          <w:tcPr/>
          <w:p>
            <w:pPr>
              <w:pStyle w:val="Compact"/>
            </w:pPr>
            <w:r>
              <w:t xml:space="preserve">TCP NewReno</w:t>
            </w:r>
          </w:p>
        </w:tc>
        <w:tc>
          <w:tcPr/>
          <w:p>
            <w:pPr>
              <w:pStyle w:val="Compact"/>
            </w:pPr>
            <w:r>
              <w:t xml:space="preserve">TCP Vegas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Основной подход</w:t>
            </w:r>
          </w:p>
        </w:tc>
        <w:tc>
          <w:tcPr/>
          <w:p>
            <w:pPr>
              <w:pStyle w:val="Compact"/>
            </w:pPr>
            <w:r>
              <w:t xml:space="preserve">Реакция на потери пакетов</w:t>
            </w:r>
          </w:p>
        </w:tc>
        <w:tc>
          <w:tcPr/>
          <w:p>
            <w:pPr>
              <w:pStyle w:val="Compact"/>
            </w:pPr>
            <w:r>
              <w:t xml:space="preserve">Реакция на потери пакетов</w:t>
            </w:r>
          </w:p>
        </w:tc>
        <w:tc>
          <w:tcPr/>
          <w:p>
            <w:pPr>
              <w:pStyle w:val="Compact"/>
            </w:pPr>
            <w:r>
              <w:t xml:space="preserve">Управление на основе задержек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Множественные потери</w:t>
            </w:r>
          </w:p>
        </w:tc>
        <w:tc>
          <w:tcPr/>
          <w:p>
            <w:pPr>
              <w:pStyle w:val="Compact"/>
            </w:pPr>
            <w:r>
              <w:t xml:space="preserve">Неэффективно</w:t>
            </w:r>
          </w:p>
        </w:tc>
        <w:tc>
          <w:tcPr/>
          <w:p>
            <w:pPr>
              <w:pStyle w:val="Compact"/>
            </w:pPr>
            <w:r>
              <w:t xml:space="preserve">Эффективно</w:t>
            </w:r>
          </w:p>
        </w:tc>
        <w:tc>
          <w:tcPr/>
          <w:p>
            <w:pPr>
              <w:pStyle w:val="Compact"/>
            </w:pPr>
            <w:r>
              <w:t xml:space="preserve">Нет потерь (проактивно)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Агрессивность</w:t>
            </w:r>
          </w:p>
        </w:tc>
        <w:tc>
          <w:tcPr/>
          <w:p>
            <w:pPr>
              <w:pStyle w:val="Compac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</w:pPr>
            <w:r>
              <w:t xml:space="preserve">Низкая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Стабильность</w:t>
            </w:r>
          </w:p>
        </w:tc>
        <w:tc>
          <w:tcPr/>
          <w:p>
            <w:pPr>
              <w:pStyle w:val="Compac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</w:pPr>
            <w:r>
              <w:t xml:space="preserve">Высокая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Сложность реализации</w:t>
            </w:r>
          </w:p>
        </w:tc>
        <w:tc>
          <w:tcPr/>
          <w:p>
            <w:pPr>
              <w:pStyle w:val="Compact"/>
            </w:pPr>
            <w:r>
              <w:t xml:space="preserve">Простая</w:t>
            </w:r>
          </w:p>
        </w:tc>
        <w:tc>
          <w:tcPr/>
          <w:p>
            <w:pPr>
              <w:pStyle w:val="Compac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</w:pPr>
            <w:r>
              <w:t xml:space="preserve">Сложная</w:t>
            </w:r>
          </w:p>
        </w:tc>
      </w:tr>
    </w:tbl>
    <w:bookmarkEnd w:id="22"/>
    <w:bookmarkEnd w:id="23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мы копировали шаблон в новый файл и открыли его на редактирование (рис. 1).</w:t>
      </w:r>
    </w:p>
    <w:bookmarkStart w:id="27" w:name="fig:001"/>
    <w:p>
      <w:pPr>
        <w:pStyle w:val="CaptionedFigure"/>
      </w:pPr>
      <w:r>
        <w:drawing>
          <wp:inline>
            <wp:extent cx="3733800" cy="3772815"/>
            <wp:effectExtent b="0" l="0" r="0" t="0"/>
            <wp:docPr descr="Рис. 1: Создание нового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файла</w:t>
      </w:r>
    </w:p>
    <w:bookmarkEnd w:id="27"/>
    <w:p>
      <w:pPr>
        <w:pStyle w:val="BodyText"/>
      </w:pPr>
      <w:r>
        <w:t xml:space="preserve">В тексте лабораторной работы был дан код алгоритма, который было необходимо реализовать. Мы его переписали в новый созданный файл (рис. 2, рис. 3, рис. 4).</w:t>
      </w:r>
    </w:p>
    <w:bookmarkStart w:id="31" w:name="fig:002"/>
    <w:p>
      <w:pPr>
        <w:pStyle w:val="CaptionedFigure"/>
      </w:pPr>
      <w:r>
        <w:drawing>
          <wp:inline>
            <wp:extent cx="3733800" cy="3811587"/>
            <wp:effectExtent b="0" l="0" r="0" t="0"/>
            <wp:docPr descr="Рис. 2: Реализация модел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3811587"/>
            <wp:effectExtent b="0" l="0" r="0" t="0"/>
            <wp:docPr descr="Рис. 3: Реализация модел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Реализация модели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3811587"/>
            <wp:effectExtent b="0" l="0" r="0" t="0"/>
            <wp:docPr descr="Рис. 4: Реализация модели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модели</w:t>
      </w:r>
    </w:p>
    <w:bookmarkEnd w:id="39"/>
    <w:p>
      <w:pPr>
        <w:pStyle w:val="BodyText"/>
      </w:pPr>
      <w:r>
        <w:t xml:space="preserve">Запустив в терминале команду</w:t>
      </w:r>
      <w:r>
        <w:t xml:space="preserve"> </w:t>
      </w:r>
      <w:r>
        <w:rPr>
          <w:rStyle w:val="VerbatimChar"/>
        </w:rPr>
        <w:t xml:space="preserve">ns example6.tcl</w:t>
      </w:r>
      <w:r>
        <w:t xml:space="preserve">, мы получили первый результат (рис. 5, рис. 6).</w:t>
      </w:r>
    </w:p>
    <w:bookmarkStart w:id="43" w:name="fig:005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5: График изменения размера окна Reno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размера окна Reno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6: График фактической и средней длины очереди Reno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фактической и средней длины очереди Reno</w:t>
      </w:r>
    </w:p>
    <w:bookmarkEnd w:id="47"/>
    <w:p>
      <w:pPr>
        <w:pStyle w:val="BodyText"/>
      </w:pPr>
      <w:r>
        <w:t xml:space="preserve">Для более приятной и понятной визуализации, я изменила график:</w:t>
      </w:r>
      <w:r>
        <w:t xml:space="preserve"> </w:t>
      </w:r>
      <w:r>
        <w:t xml:space="preserve">- -bg white для белого фона</w:t>
      </w:r>
      <w:r>
        <w:t xml:space="preserve"> </w:t>
      </w:r>
      <w:r>
        <w:t xml:space="preserve">- 0.Color=purple для цвета первой рисуемой линии</w:t>
      </w:r>
      <w:r>
        <w:t xml:space="preserve"> </w:t>
      </w:r>
      <w:r>
        <w:t xml:space="preserve">- 1.Color=orange для цвета второй рисуемой линии</w:t>
      </w:r>
      <w:r>
        <w:t xml:space="preserve"> </w:t>
      </w:r>
      <w:r>
        <w:t xml:space="preserve">- третью линию оставила как есть, красной (рис. 7, рис. 8).</w:t>
      </w:r>
    </w:p>
    <w:bookmarkStart w:id="51" w:name="fig:007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7: Изменение визуализации графика фактической и средней длины очереди Reno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визуализации графика фактической и средней длины очереди Reno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8: Изменение визуализации графика изменения размера окна Reno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визуализации графика изменения размера окна Reno</w:t>
      </w:r>
    </w:p>
    <w:bookmarkEnd w:id="55"/>
    <w:p>
      <w:pPr>
        <w:pStyle w:val="BodyText"/>
      </w:pPr>
      <w:r>
        <w:t xml:space="preserve">Далее, мы поменяли тип протокола TCP c Reno на NewReno (рис. 9, рис. 10).</w:t>
      </w:r>
    </w:p>
    <w:bookmarkStart w:id="59" w:name="fig:009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9: График фактической и средней длины очереди NewReno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фактической и средней длины очереди NewReno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10: График изменения размера окна NewReno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изменения размера окна NewReno</w:t>
      </w:r>
    </w:p>
    <w:bookmarkEnd w:id="63"/>
    <w:p>
      <w:pPr>
        <w:pStyle w:val="BodyText"/>
      </w:pPr>
      <w:r>
        <w:t xml:space="preserve">После, мы поменяли тип протокола TCP c NewReno на Vegas (рис. 11, рис. 12).</w:t>
      </w:r>
    </w:p>
    <w:bookmarkStart w:id="67" w:name="fig:011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11: График фактической и средней длины очереди Vegas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фактической и средней длины очереди Vegas</w:t>
      </w:r>
    </w:p>
    <w:bookmarkEnd w:id="67"/>
    <w:bookmarkStart w:id="71" w:name="fig:012"/>
    <w:p>
      <w:pPr>
        <w:pStyle w:val="CaptionedFigure"/>
      </w:pPr>
      <w:r>
        <w:drawing>
          <wp:inline>
            <wp:extent cx="3733800" cy="3876453"/>
            <wp:effectExtent b="0" l="0" r="0" t="0"/>
            <wp:docPr descr="Рис. 12: График изменения размера окна Vegas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изменения размера окна Vegas</w:t>
      </w:r>
    </w:p>
    <w:bookmarkEnd w:id="71"/>
    <w:p>
      <w:pPr>
        <w:pStyle w:val="BodyText"/>
      </w:pPr>
      <w:r>
        <w:t xml:space="preserve">Т.к. у нас Reno и NewReno похожи по подходу, графики тоже похожи, но у NewReno стабильнее график и меньше разброс значений, т.к. у Reno увеличение окна происходит линейно и регулируется только при потере пакетов, а у NewReno есть регуляризация принятия пакетов после потери (увеличенный быстрый старт), а у TCP Vegas совершенно иной подход к регуляризации трафика, в следствие чего среднее число пакетов в очереди выглядит еще более стабильно. А также пик размера окна у него сильно меньше, чем у двух предыдущих алгоритмов.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определили различия между 3-мя протоколами TCP и приобрели базовые навыки работы со средством визуализации</w:t>
      </w:r>
      <w:r>
        <w:t xml:space="preserve"> </w:t>
      </w:r>
      <w:r>
        <w:rPr>
          <w:rStyle w:val="VerbatimChar"/>
        </w:rPr>
        <w:t xml:space="preserve">xgraph</w:t>
      </w:r>
      <w:r>
        <w:t xml:space="preserve">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Надежда Александровна Рогожина</dc:creator>
  <dc:language>ru-RU</dc:language>
  <cp:keywords/>
  <dcterms:created xsi:type="dcterms:W3CDTF">2025-02-22T13:03:30Z</dcterms:created>
  <dcterms:modified xsi:type="dcterms:W3CDTF">2025-02-22T13:03:30Z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Исследование протокола TCP и алгоритма управления очередью RED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