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№3</w:t>
      </w:r>
    </w:p>
    <w:p>
      <w:pPr>
        <w:pStyle w:val="Subtitle"/>
      </w:pPr>
      <w:r>
        <w:t xml:space="preserve">Моделирование стохастических процессов</w:t>
      </w:r>
    </w:p>
    <w:p>
      <w:pPr>
        <w:pStyle w:val="Author"/>
      </w:pPr>
      <w:r>
        <w:t xml:space="preserve">Надежда Александровна Рогожина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Смоделировать и визуализировать результаты моделирования СМО М/М/1 с бесконечной очередью.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Создать и смоделировать однолинейную СМО с накопителем бесконечной ёмкости. Визуализировать результат моделирования с помощью GNUplot.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M|M|1 — однолинейная СМО с накопителем бесконечной ёмкости. Поступающий поток заявок — пуассоновский с интенсивностью λ. Времена обслуживания заявок — независимые в совокупности случайные величины, распределённые по экспоненциальному закону с параметром μ.</w:t>
      </w:r>
    </w:p>
    <w:bookmarkEnd w:id="22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Первым делом создадим еще одну копию шаблона и откроем на редактирование (рис. 1).</w:t>
      </w:r>
    </w:p>
    <w:bookmarkStart w:id="26" w:name="fig:001"/>
    <w:p>
      <w:pPr>
        <w:pStyle w:val="CaptionedFigure"/>
      </w:pPr>
      <w:r>
        <w:drawing>
          <wp:inline>
            <wp:extent cx="3733800" cy="2439630"/>
            <wp:effectExtent b="0" l="0" r="0" t="0"/>
            <wp:docPr descr="Рис. 1: example5.tcl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9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example5.tcl</w:t>
      </w:r>
    </w:p>
    <w:bookmarkEnd w:id="26"/>
    <w:p>
      <w:pPr>
        <w:pStyle w:val="BodyText"/>
      </w:pPr>
      <w:r>
        <w:t xml:space="preserve">Введем код, данный нам в лабораторной работе, которые описывает поведение однолинейной СМО с накопителем бесконечной ёмкости (рис. 2, рис. 3).</w:t>
      </w:r>
    </w:p>
    <w:bookmarkStart w:id="30" w:name="fig:002"/>
    <w:p>
      <w:pPr>
        <w:pStyle w:val="CaptionedFigure"/>
      </w:pPr>
      <w:r>
        <w:drawing>
          <wp:inline>
            <wp:extent cx="3733800" cy="3940799"/>
            <wp:effectExtent b="0" l="0" r="0" t="0"/>
            <wp:docPr descr="Рис. 2: Код СМО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40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Код СМО</w:t>
      </w:r>
    </w:p>
    <w:bookmarkEnd w:id="30"/>
    <w:bookmarkStart w:id="34" w:name="fig:003"/>
    <w:p>
      <w:pPr>
        <w:pStyle w:val="CaptionedFigure"/>
      </w:pPr>
      <w:r>
        <w:drawing>
          <wp:inline>
            <wp:extent cx="3733800" cy="3940799"/>
            <wp:effectExtent b="0" l="0" r="0" t="0"/>
            <wp:docPr descr="Рис. 3: Код СМО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40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Код СМО</w:t>
      </w:r>
    </w:p>
    <w:bookmarkEnd w:id="34"/>
    <w:p>
      <w:pPr>
        <w:pStyle w:val="BodyText"/>
      </w:pPr>
      <w:r>
        <w:t xml:space="preserve">Запустим моделирование процесса (рис. 4).</w:t>
      </w:r>
    </w:p>
    <w:bookmarkStart w:id="38" w:name="fig:004"/>
    <w:p>
      <w:pPr>
        <w:pStyle w:val="CaptionedFigure"/>
      </w:pPr>
      <w:r>
        <w:drawing>
          <wp:inline>
            <wp:extent cx="3733800" cy="2439630"/>
            <wp:effectExtent b="0" l="0" r="0" t="0"/>
            <wp:docPr descr="Рис. 4: ns example5.tcl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9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ns example5.tcl</w:t>
      </w:r>
    </w:p>
    <w:bookmarkEnd w:id="38"/>
    <w:p>
      <w:pPr>
        <w:pStyle w:val="BodyText"/>
      </w:pPr>
      <w:r>
        <w:t xml:space="preserve">У нас получился следующий результат:</w:t>
      </w:r>
    </w:p>
    <w:p>
      <w:pPr>
        <w:pStyle w:val="Compact"/>
        <w:numPr>
          <w:ilvl w:val="0"/>
          <w:numId w:val="1001"/>
        </w:numPr>
      </w:pPr>
      <w:r>
        <w:t xml:space="preserve">Теоретическая вероятность потери = 0.0</w:t>
      </w:r>
    </w:p>
    <w:p>
      <w:pPr>
        <w:pStyle w:val="Compact"/>
        <w:numPr>
          <w:ilvl w:val="0"/>
          <w:numId w:val="1001"/>
        </w:numPr>
      </w:pPr>
      <w:r>
        <w:t xml:space="preserve">Теоретическая средняя длина очереди = 9.0909090909090864</w:t>
      </w:r>
    </w:p>
    <w:p>
      <w:pPr>
        <w:pStyle w:val="FirstParagraph"/>
      </w:pPr>
      <w:r>
        <w:t xml:space="preserve">Далее, мы создали файл graph_plot.gpi и ввели код, указанный в лабораторной работе (рис. 5).</w:t>
      </w:r>
    </w:p>
    <w:bookmarkStart w:id="42" w:name="fig:005"/>
    <w:p>
      <w:pPr>
        <w:pStyle w:val="CaptionedFigure"/>
      </w:pPr>
      <w:r>
        <w:drawing>
          <wp:inline>
            <wp:extent cx="3733800" cy="2706614"/>
            <wp:effectExtent b="0" l="0" r="0" t="0"/>
            <wp:docPr descr="Рис. 5: Код визуализации графика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6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Код визуализации графика</w:t>
      </w:r>
    </w:p>
    <w:bookmarkEnd w:id="42"/>
    <w:p>
      <w:pPr>
        <w:pStyle w:val="BodyText"/>
      </w:pPr>
      <w:r>
        <w:t xml:space="preserve">Далее, нам необходимо было сделать файл исполняемым и запустить его (рис. 6).</w:t>
      </w:r>
    </w:p>
    <w:bookmarkStart w:id="46" w:name="fig:006"/>
    <w:p>
      <w:pPr>
        <w:pStyle w:val="CaptionedFigure"/>
      </w:pPr>
      <w:r>
        <w:drawing>
          <wp:inline>
            <wp:extent cx="3733800" cy="2439630"/>
            <wp:effectExtent b="0" l="0" r="0" t="0"/>
            <wp:docPr descr="Рис. 6: Запуск GNUplot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9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GNUplot</w:t>
      </w:r>
    </w:p>
    <w:bookmarkEnd w:id="46"/>
    <w:p>
      <w:pPr>
        <w:pStyle w:val="BodyText"/>
      </w:pPr>
      <w:r>
        <w:t xml:space="preserve">По результатам работы программы, у нас создался файл</w:t>
      </w:r>
      <w:r>
        <w:t xml:space="preserve"> </w:t>
      </w:r>
      <w:r>
        <w:rPr>
          <w:rStyle w:val="VerbatimChar"/>
        </w:rPr>
        <w:t xml:space="preserve">qm.pdf</w:t>
      </w:r>
      <w:r>
        <w:t xml:space="preserve"> </w:t>
      </w:r>
      <w:r>
        <w:t xml:space="preserve">на котором были отражены размер очереди (в пакетах), приближение сплайном и приближение Безье (рис. 7).</w:t>
      </w:r>
    </w:p>
    <w:bookmarkStart w:id="50" w:name="fig:007"/>
    <w:p>
      <w:pPr>
        <w:pStyle w:val="CaptionedFigure"/>
      </w:pPr>
      <w:r>
        <w:drawing>
          <wp:inline>
            <wp:extent cx="3733800" cy="2439630"/>
            <wp:effectExtent b="0" l="0" r="0" t="0"/>
            <wp:docPr descr="Рис. 7: График №1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9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График №1</w:t>
      </w:r>
    </w:p>
    <w:bookmarkEnd w:id="50"/>
    <w:p>
      <w:pPr>
        <w:pStyle w:val="BodyText"/>
      </w:pPr>
      <w:r>
        <w:t xml:space="preserve">Цветовая гамма отличалась от примера (a-k-a желаемого результата), соответственно, я внесла изменения в код (рис. 8).</w:t>
      </w:r>
    </w:p>
    <w:bookmarkStart w:id="54" w:name="fig:008"/>
    <w:p>
      <w:pPr>
        <w:pStyle w:val="CaptionedFigure"/>
      </w:pPr>
      <w:r>
        <w:drawing>
          <wp:inline>
            <wp:extent cx="3733800" cy="2617611"/>
            <wp:effectExtent b="0" l="0" r="0" t="0"/>
            <wp:docPr descr="Рис. 8: Изменение цвета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7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Изменение цвета</w:t>
      </w:r>
    </w:p>
    <w:bookmarkEnd w:id="54"/>
    <w:p>
      <w:pPr>
        <w:pStyle w:val="BodyText"/>
      </w:pPr>
      <w:r>
        <w:t xml:space="preserve">Далее, при повторном запуске программы, цвета совпали с цветами графика на примере, данном в лабораторной работе (рис. 9).</w:t>
      </w:r>
    </w:p>
    <w:bookmarkStart w:id="58" w:name="fig:009"/>
    <w:p>
      <w:pPr>
        <w:pStyle w:val="CaptionedFigure"/>
      </w:pPr>
      <w:r>
        <w:drawing>
          <wp:inline>
            <wp:extent cx="3733800" cy="2217325"/>
            <wp:effectExtent b="0" l="0" r="0" t="0"/>
            <wp:docPr descr="Рис. 9: График №2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7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График №2</w:t>
      </w:r>
    </w:p>
    <w:bookmarkEnd w:id="58"/>
    <w:p>
      <w:pPr>
        <w:pStyle w:val="BodyText"/>
      </w:pPr>
      <w:r>
        <w:t xml:space="preserve">Но и сейчас, визуально, тяжело проанализировать из-за достаточно тусклого зеленого цвета приближения сплайном. Было принято решение для более удобного анализа проведенной работы поменять цвета отрисовки (рис. 10).</w:t>
      </w:r>
    </w:p>
    <w:bookmarkStart w:id="62" w:name="fig:010"/>
    <w:p>
      <w:pPr>
        <w:pStyle w:val="CaptionedFigure"/>
      </w:pPr>
      <w:r>
        <w:drawing>
          <wp:inline>
            <wp:extent cx="3733800" cy="2217325"/>
            <wp:effectExtent b="0" l="0" r="0" t="0"/>
            <wp:docPr descr="Рис. 10: Повторное изменение цвета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7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Повторное изменение цвета</w:t>
      </w:r>
    </w:p>
    <w:bookmarkEnd w:id="62"/>
    <w:p>
      <w:pPr>
        <w:pStyle w:val="BodyText"/>
      </w:pPr>
      <w:r>
        <w:t xml:space="preserve">После этого, приближения стали видны сильно чётче на фоне быстро изменяющихся и вечно скачущих данных. (рис. 11).</w:t>
      </w:r>
    </w:p>
    <w:bookmarkStart w:id="66" w:name="fig:011"/>
    <w:p>
      <w:pPr>
        <w:pStyle w:val="CaptionedFigure"/>
      </w:pPr>
      <w:r>
        <w:drawing>
          <wp:inline>
            <wp:extent cx="3733800" cy="2217325"/>
            <wp:effectExtent b="0" l="0" r="0" t="0"/>
            <wp:docPr descr="Рис. 11: График №3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7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График №3</w:t>
      </w:r>
    </w:p>
    <w:bookmarkEnd w:id="66"/>
    <w:p>
      <w:pPr>
        <w:pStyle w:val="BodyText"/>
      </w:pPr>
      <w:r>
        <w:t xml:space="preserve">Мы видим, что приближение Безье</w:t>
      </w:r>
      <w:r>
        <w:t xml:space="preserve"> </w:t>
      </w:r>
      <w:r>
        <w:t xml:space="preserve">“сглаживает”</w:t>
      </w:r>
      <w:r>
        <w:t xml:space="preserve"> </w:t>
      </w:r>
      <w:r>
        <w:t xml:space="preserve">кривую сильнее, чем приближение сплайном. В данном случае, приближение сплайном мне кажется более точным, однако надо смотреть не только на график (потому что график бывает обманчив), но и на численные показатели точности апроксимации.</w:t>
      </w:r>
    </w:p>
    <w:bookmarkEnd w:id="67"/>
    <w:bookmarkStart w:id="6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мы смоделировали поведение однолинейной СМО М|M|1 с накопителем бесконечной ёмкости, а также апроксимировали результаты с помощью сплайнов и кривых Безье, приобрели навыки работы с GNUplot.</w:t>
      </w:r>
    </w:p>
    <w:bookmarkEnd w:id="68"/>
    <w:bookmarkStart w:id="70" w:name="список-литературы"/>
    <w:p>
      <w:pPr>
        <w:pStyle w:val="Heading1"/>
      </w:pPr>
      <w:r>
        <w:t xml:space="preserve">Список литературы</w:t>
      </w:r>
    </w:p>
    <w:bookmarkStart w:id="69" w:name="refs"/>
    <w:bookmarkEnd w:id="69"/>
    <w:bookmarkEnd w:id="70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Надежда Александровна Рогожина</dc:creator>
  <dc:language>ru-RU</dc:language>
  <cp:keywords/>
  <dcterms:created xsi:type="dcterms:W3CDTF">2025-02-20T19:43:06Z</dcterms:created>
  <dcterms:modified xsi:type="dcterms:W3CDTF">2025-02-20T19:43:06Z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Моделирование стохастических процессов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