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Модель эпидемии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дополнение к предположениям, которые были сделаны для модели SIR,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s = −</w:t>
      </w:r>
      <m:oMath>
        <m:r>
          <m:t>β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s(t)i(t) +</w:t>
      </w:r>
      <w:r>
        <w:rPr>
          <w:i/>
          <w:iCs/>
        </w:rPr>
        <w:t xml:space="preserve"> </w:t>
      </w:r>
      <m:oMath>
        <m:r>
          <m:t>μ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(N − s(t))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 =</w:t>
      </w:r>
      <w:r>
        <w:rPr>
          <w:i/>
          <w:iCs/>
        </w:rPr>
        <w:t xml:space="preserve"> </w:t>
      </w:r>
      <m:oMath>
        <m:r>
          <m:t>β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s(t)i(t) −</w:t>
      </w:r>
      <w:r>
        <w:rPr>
          <w:i/>
          <w:iCs/>
        </w:rPr>
        <w:t xml:space="preserve"> </w:t>
      </w:r>
      <m:oMath>
        <m:r>
          <m:t>ν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i(t) −</w:t>
      </w:r>
      <w:r>
        <w:rPr>
          <w:i/>
          <w:iCs/>
        </w:rPr>
        <w:t xml:space="preserve"> </w:t>
      </w:r>
      <m:oMath>
        <m:r>
          <m:t>μ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i(t);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r =</w:t>
      </w:r>
      <w:r>
        <w:rPr>
          <w:i/>
          <w:iCs/>
        </w:rPr>
        <w:t xml:space="preserve"> </w:t>
      </w:r>
      <m:oMath>
        <m:r>
          <m:t>ν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i(t) −</w:t>
      </w:r>
      <w:r>
        <w:rPr>
          <w:i/>
          <w:iCs/>
        </w:rPr>
        <w:t xml:space="preserve"> </w:t>
      </w:r>
      <m:oMath>
        <m:r>
          <m:t>μ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r(t),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Требуется:</w:t>
      </w:r>
      <w:r>
        <w:t xml:space="preserve"> </w:t>
      </w:r>
      <w:r>
        <w:t xml:space="preserve">- реализовать модель SIR с учётом процесса рождения / гибели особей в xcos (в том числе и с использованием блока Modelica), а также в OpenModelica;</w:t>
      </w:r>
      <w:r>
        <w:t xml:space="preserve"> </w:t>
      </w:r>
      <w:r>
        <w:t xml:space="preserve">- 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  <w:r>
        <w:t xml:space="preserve"> </w:t>
      </w:r>
      <w:r>
        <w:t xml:space="preserve">- сделать анализ полученных графиков в зависимости от выбранных значений параметров модели.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</w:t>
      </w:r>
    </w:p>
    <w:p>
      <w:pPr>
        <w:pStyle w:val="BodyText"/>
      </w:pPr>
      <w:r>
        <w:t xml:space="preserve">Предполагается, что особи популяции размера N могут находиться в трёх различных состояниях:</w:t>
      </w:r>
      <w:r>
        <w:t xml:space="preserve"> </w:t>
      </w:r>
      <w:r>
        <w:t xml:space="preserve">- S (susceptible, уязвимые) — здоровые особи, которые находятся в группе риска и могут подхватить инфекцию;</w:t>
      </w:r>
      <w:r>
        <w:t xml:space="preserve"> </w:t>
      </w:r>
      <w:r>
        <w:t xml:space="preserve">- I (infective, заражённые, распространяющие заболевание) — заразившиеся переносчики болезни;</w:t>
      </w:r>
      <w:r>
        <w:t xml:space="preserve"> </w:t>
      </w:r>
      <w:r>
        <w:t xml:space="preserve">- R (recovered/removed, вылечившиеся) — те, кто выздоровел и перестал распространять болезнь (в эту категорию относят, например, приобретших иммунитет или умерших).</w:t>
      </w:r>
    </w:p>
    <w:p>
      <w:pPr>
        <w:pStyle w:val="BodyText"/>
      </w:pPr>
      <w:r>
        <w:t xml:space="preserve">Внутри каждой из выделенных групп особи считаются неразличимыми по свойствам. Типичная эволюция особи популяции описывается следующей диаграммой: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→</m:t>
          </m:r>
          <m:r>
            <m:t>I</m:t>
          </m:r>
          <m:r>
            <m:rPr>
              <m:sty m:val="p"/>
            </m:rPr>
            <m:t>→</m:t>
          </m:r>
          <m: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Считаем, что система замкнута, т.е.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+</m:t>
          </m:r>
          <m: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Почитать подробнее про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можно в</w:t>
      </w:r>
      <w:r>
        <w:t xml:space="preserve"> </w:t>
      </w:r>
      <w:r>
        <w:t xml:space="preserve">[1]</w:t>
      </w:r>
      <w:r>
        <w:t xml:space="preserve">. Лабораторная работа выполнялась на основе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окно визуального моделирования, первое что было установлено - контекст (рис. 1).</w:t>
      </w:r>
    </w:p>
    <w:bookmarkStart w:id="25" w:name="fig:001"/>
    <w:p>
      <w:pPr>
        <w:pStyle w:val="CaptionedFigure"/>
      </w:pPr>
      <w:r>
        <w:drawing>
          <wp:inline>
            <wp:extent cx="3733800" cy="2491836"/>
            <wp:effectExtent b="0" l="0" r="0" t="0"/>
            <wp:docPr descr="Рис. 1: Обозначение постоянны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Обозначение постоянных</w:t>
      </w:r>
    </w:p>
    <w:bookmarkEnd w:id="25"/>
    <w:p>
      <w:pPr>
        <w:pStyle w:val="BodyText"/>
      </w:pPr>
      <w:r>
        <w:t xml:space="preserve">Для первого интеграла было выставлено</w:t>
      </w:r>
      <w:r>
        <w:t xml:space="preserve"> </w:t>
      </w:r>
      <w:r>
        <w:rPr>
          <w:rStyle w:val="VerbatimChar"/>
        </w:rPr>
        <w:t xml:space="preserve">Initial Condition = .999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2521413"/>
            <wp:effectExtent b="0" l="0" r="0" t="0"/>
            <wp:docPr descr="Рис. 2: Настройка интеграла для s(t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интеграла для s(t)</w:t>
      </w:r>
    </w:p>
    <w:bookmarkEnd w:id="29"/>
    <w:p>
      <w:pPr>
        <w:pStyle w:val="BodyText"/>
      </w:pPr>
      <w:r>
        <w:t xml:space="preserve">Для второго интеграла было выставлено</w:t>
      </w:r>
      <w:r>
        <w:t xml:space="preserve"> </w:t>
      </w:r>
      <w:r>
        <w:rPr>
          <w:rStyle w:val="VerbatimChar"/>
        </w:rPr>
        <w:t xml:space="preserve">Initial Condition = .001</w:t>
      </w:r>
      <w:r>
        <w:t xml:space="preserve"> </w:t>
      </w:r>
      <w:r>
        <w:t xml:space="preserve">(рис. 3).</w:t>
      </w:r>
    </w:p>
    <w:bookmarkStart w:id="33" w:name="fig:003"/>
    <w:p>
      <w:pPr>
        <w:pStyle w:val="CaptionedFigure"/>
      </w:pPr>
      <w:r>
        <w:drawing>
          <wp:inline>
            <wp:extent cx="3733800" cy="2521413"/>
            <wp:effectExtent b="0" l="0" r="0" t="0"/>
            <wp:docPr descr="Рис. 3: Настройка интеграла для i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интеграла для i(t)</w:t>
      </w:r>
    </w:p>
    <w:bookmarkEnd w:id="33"/>
    <w:p>
      <w:pPr>
        <w:pStyle w:val="BodyText"/>
      </w:pPr>
      <w:r>
        <w:t xml:space="preserve">Также, необходимо было установить максимальное время моделирования как 30 единиц модельного времени (рис. 4).</w:t>
      </w:r>
    </w:p>
    <w:bookmarkStart w:id="37" w:name="fig:004"/>
    <w:p>
      <w:pPr>
        <w:pStyle w:val="CaptionedFigure"/>
      </w:pPr>
      <w:r>
        <w:drawing>
          <wp:inline>
            <wp:extent cx="3733800" cy="1979782"/>
            <wp:effectExtent b="0" l="0" r="0" t="0"/>
            <wp:docPr descr="Рис. 4: Установка max(t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max(t)</w:t>
      </w:r>
    </w:p>
    <w:bookmarkEnd w:id="37"/>
    <w:p>
      <w:pPr>
        <w:pStyle w:val="BodyText"/>
      </w:pPr>
      <w:r>
        <w:t xml:space="preserve">Схему, которая была изображена в тексте лабораторной работы, мы повторили (рис. 5).</w:t>
      </w:r>
    </w:p>
    <w:bookmarkStart w:id="41" w:name="fig:005"/>
    <w:p>
      <w:pPr>
        <w:pStyle w:val="CaptionedFigure"/>
      </w:pPr>
      <w:r>
        <w:drawing>
          <wp:inline>
            <wp:extent cx="3733800" cy="2850752"/>
            <wp:effectExtent b="0" l="0" r="0" t="0"/>
            <wp:docPr descr="Рис. 5: Модель эпидемии SIR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эпидемии SIR</w:t>
      </w:r>
    </w:p>
    <w:bookmarkEnd w:id="41"/>
    <w:p>
      <w:pPr>
        <w:pStyle w:val="BodyText"/>
      </w:pPr>
      <w:r>
        <w:t xml:space="preserve">Смоделировав ситуацию, мы видим планомерное уменьшение здоровых граждан, планомерное увеличение вылечившихся, а также пик количества зараженных граждан, что одновременно является точкой пересечения всех 3 линий (рис. 6).</w:t>
      </w:r>
    </w:p>
    <w:bookmarkStart w:id="45" w:name="fig:006"/>
    <w:p>
      <w:pPr>
        <w:pStyle w:val="CaptionedFigure"/>
      </w:pPr>
      <w:r>
        <w:drawing>
          <wp:inline>
            <wp:extent cx="3733800" cy="2440359"/>
            <wp:effectExtent b="0" l="0" r="0" t="0"/>
            <wp:docPr descr="Рис. 6: Модель эпидемии SIR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эпидемии SIR</w:t>
      </w:r>
    </w:p>
    <w:bookmarkEnd w:id="45"/>
    <w:p>
      <w:pPr>
        <w:pStyle w:val="BodyText"/>
      </w:pPr>
      <w:r>
        <w:t xml:space="preserve">Далее, мы повторили ту же модель, но через блок OpenModelica (рис. 7, рис. 8, рис. 9).</w:t>
      </w:r>
    </w:p>
    <w:bookmarkStart w:id="49" w:name="fig:007"/>
    <w:p>
      <w:pPr>
        <w:pStyle w:val="CaptionedFigure"/>
      </w:pPr>
      <w:r>
        <w:drawing>
          <wp:inline>
            <wp:extent cx="3733800" cy="3468503"/>
            <wp:effectExtent b="0" l="0" r="0" t="0"/>
            <wp:docPr descr="Рис. 7: Установка значений бло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значений блока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485178"/>
            <wp:effectExtent b="0" l="0" r="0" t="0"/>
            <wp:docPr descr="Рис. 8: Код OpenModelica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OpenModelica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358393"/>
            <wp:effectExtent b="0" l="0" r="0" t="0"/>
            <wp:docPr descr="Рис. 9: Модель эпидемии SIR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эпидемии SIR</w:t>
      </w:r>
    </w:p>
    <w:bookmarkEnd w:id="57"/>
    <w:p>
      <w:pPr>
        <w:pStyle w:val="BodyText"/>
      </w:pPr>
      <w:r>
        <w:t xml:space="preserve">Видно, что результаты совпадают с аналитическим подсчетом (рис. 10).</w:t>
      </w:r>
    </w:p>
    <w:bookmarkStart w:id="61" w:name="fig:010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0: Модель эпидемии SIR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эпидемии SIR</w:t>
      </w:r>
    </w:p>
    <w:bookmarkEnd w:id="61"/>
    <w:p>
      <w:pPr>
        <w:pStyle w:val="BodyText"/>
      </w:pPr>
      <w:r>
        <w:t xml:space="preserve">Далее, было необходимо реализовать модель эпидемии, учитывающую смертность и рождаемость (коэффициент</w:t>
      </w:r>
      <w:r>
        <w:t xml:space="preserve"> </w:t>
      </w:r>
      <m:oMath>
        <m:r>
          <m:t>μ</m:t>
        </m:r>
      </m:oMath>
      <w:r>
        <w:t xml:space="preserve">) (рис. 11, рис. 12).</w:t>
      </w:r>
    </w:p>
    <w:bookmarkStart w:id="65" w:name="fig:011"/>
    <w:p>
      <w:pPr>
        <w:pStyle w:val="CaptionedFigure"/>
      </w:pPr>
      <w:r>
        <w:drawing>
          <wp:inline>
            <wp:extent cx="3733800" cy="2491836"/>
            <wp:effectExtent b="0" l="0" r="0" t="0"/>
            <wp:docPr descr="Рис. 11: Конфигурация контекс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 контекста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846591"/>
            <wp:effectExtent b="0" l="0" r="0" t="0"/>
            <wp:docPr descr="Рис. 12: Реализованная модел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Реализованная модель</w:t>
      </w:r>
    </w:p>
    <w:bookmarkEnd w:id="69"/>
    <w:p>
      <w:pPr>
        <w:pStyle w:val="BodyText"/>
      </w:pPr>
      <w:r>
        <w:t xml:space="preserve">При запуске, с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0.01</m:t>
        </m:r>
        <m:r>
          <m:rPr>
            <m:sty m:val="p"/>
          </m:rPr>
          <m:t>;</m:t>
        </m:r>
        <m:r>
          <m:t>0.1</m:t>
        </m:r>
        <m:r>
          <m:rPr>
            <m:sty m:val="p"/>
          </m:rPr>
          <m:t>;</m:t>
        </m:r>
        <m:r>
          <m:t>1</m:t>
        </m:r>
      </m:oMath>
      <w:r>
        <w:t xml:space="preserve"> </w:t>
      </w:r>
      <w:r>
        <w:t xml:space="preserve">получились следующие результаты (рис. 13, рис. 14, рис. 15):</w:t>
      </w:r>
    </w:p>
    <w:bookmarkStart w:id="73" w:name="fig:013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3: \mu = 0.01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0.01</m:t>
        </m:r>
      </m:oMath>
    </w:p>
    <w:bookmarkEnd w:id="73"/>
    <w:bookmarkStart w:id="77" w:name="fig:01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4: \mu = 0.1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77"/>
    <w:bookmarkStart w:id="81" w:name="fig:015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5: \mu = 1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</m:t>
        </m:r>
      </m:oMath>
    </w:p>
    <w:bookmarkEnd w:id="81"/>
    <w:p>
      <w:pPr>
        <w:pStyle w:val="BodyText"/>
      </w:pPr>
      <w:r>
        <w:t xml:space="preserve">Аналогично, необходимо было доработать код OpenModelica (рис. 16, рис. 17, рис. 18):</w:t>
      </w:r>
    </w:p>
    <w:bookmarkStart w:id="85" w:name="fig:016"/>
    <w:p>
      <w:pPr>
        <w:pStyle w:val="CaptionedFigure"/>
      </w:pPr>
      <w:r>
        <w:drawing>
          <wp:inline>
            <wp:extent cx="3733800" cy="2358393"/>
            <wp:effectExtent b="0" l="0" r="0" t="0"/>
            <wp:docPr descr="Рис. 16: Диаграмма OpenModelica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Диаграмма OpenModelica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3468503"/>
            <wp:effectExtent b="0" l="0" r="0" t="0"/>
            <wp:docPr descr="Рис. 17: Вводимые значения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Вводимые значения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2998248"/>
            <wp:effectExtent b="0" l="0" r="0" t="0"/>
            <wp:docPr descr="Рис. 18: Код OpenModelica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Код OpenModelica</w:t>
      </w:r>
    </w:p>
    <w:bookmarkEnd w:id="93"/>
    <w:p>
      <w:pPr>
        <w:pStyle w:val="BodyText"/>
      </w:pPr>
      <w:r>
        <w:t xml:space="preserve">Аналогично, были получены результаты для разных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(рис. 19, рис. 20, рис. 21):</w:t>
      </w:r>
    </w:p>
    <w:bookmarkStart w:id="97" w:name="fig:019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9: \mu = 0.01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0.01</m:t>
        </m:r>
      </m:oMath>
    </w:p>
    <w:bookmarkEnd w:id="97"/>
    <w:bookmarkStart w:id="101" w:name="fig:020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0: \mu = 0.1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101"/>
    <w:bookmarkStart w:id="105" w:name="fig:02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1: \mu = 2.4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2.4</m:t>
        </m:r>
      </m:oMath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базовые навыки программирования модели эпидемии с помощью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</w:t>
      </w:r>
    </w:p>
    <w:bookmarkEnd w:id="107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Start w:id="109" w:name="ref-xco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Xcos.</w:t>
      </w:r>
      <w:r>
        <w:t xml:space="preserve"> </w:t>
      </w:r>
      <w:hyperlink r:id="rId108">
        <w:r>
          <w:rPr>
            <w:rStyle w:val="Hyperlink"/>
          </w:rPr>
          <w:t xml:space="preserve">Официальный сайт Xcos</w:t>
        </w:r>
      </w:hyperlink>
      <w:r>
        <w:t xml:space="preserve">. 2025.</w:t>
      </w:r>
    </w:p>
    <w:bookmarkEnd w:id="109"/>
    <w:bookmarkStart w:id="110" w:name="ref-sim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А. В. Королькова Д.С.К. Моделирование информационных процессов. 1-е изд. Москва: Типография РУДН, 2014. 191 с.</w:t>
      </w:r>
    </w:p>
    <w:bookmarkEnd w:id="110"/>
    <w:bookmarkEnd w:id="111"/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08" Target="https://www.scilab.org/software/xc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www.scilab.org/software/xc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Надежда Александровна Рогожина</dc:creator>
  <dc:language>ru-RU</dc:language>
  <cp:keywords/>
  <dcterms:created xsi:type="dcterms:W3CDTF">2025-03-08T13:24:45Z</dcterms:created>
  <dcterms:modified xsi:type="dcterms:W3CDTF">2025-03-08T13:24:45Z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эпидемии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