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Модель M|M|1|inf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и визуализировать результаты моделирования СМО М/М/1 с бесконечной очередью.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 смоделировать однолинейную СМО с накопителем бесконечной ёмкости. Визуализировать результат моделирования.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M|M|1 —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 экспоненциальному закону с параметром 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Первое, что мы сделали - задали переменные окружения (рис. 1).</w:t>
      </w:r>
    </w:p>
    <w:bookmarkStart w:id="26" w:name="fig:001"/>
    <w:p>
      <w:pPr>
        <w:pStyle w:val="CaptionedFigure"/>
      </w:pPr>
      <w:r>
        <w:drawing>
          <wp:inline>
            <wp:extent cx="3733800" cy="2491836"/>
            <wp:effectExtent b="0" l="0" r="0" t="0"/>
            <wp:docPr descr="Рис. 1: Установка кон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6"/>
    <w:p>
      <w:pPr>
        <w:pStyle w:val="BodyText"/>
      </w:pPr>
      <w:r>
        <w:t xml:space="preserve">Сама схема модели выглядит следующим образом (рис. 2):</w:t>
      </w:r>
    </w:p>
    <w:p>
      <w:pPr>
        <w:pStyle w:val="Compact"/>
        <w:numPr>
          <w:ilvl w:val="0"/>
          <w:numId w:val="1001"/>
        </w:numPr>
      </w:pPr>
      <w:r>
        <w:t xml:space="preserve">3 входа (+1, -1, 0) - отвечают за добавление/убирание заявок из очереди и первоначальную синхронизацию</w:t>
      </w:r>
    </w:p>
    <w:p>
      <w:pPr>
        <w:pStyle w:val="Compact"/>
        <w:numPr>
          <w:ilvl w:val="0"/>
          <w:numId w:val="1001"/>
        </w:numPr>
      </w:pPr>
      <w:r>
        <w:t xml:space="preserve">Селектор событий - работа системы описывается двумя событиями - поступление заявки в очередь и обработка заявки.</w:t>
      </w:r>
    </w:p>
    <w:p>
      <w:pPr>
        <w:pStyle w:val="Compact"/>
        <w:numPr>
          <w:ilvl w:val="0"/>
          <w:numId w:val="1001"/>
        </w:numPr>
      </w:pPr>
      <w:r>
        <w:t xml:space="preserve">Синхронизация входных/выходных сигналов</w:t>
      </w:r>
    </w:p>
    <w:p>
      <w:pPr>
        <w:pStyle w:val="Compact"/>
        <w:numPr>
          <w:ilvl w:val="0"/>
          <w:numId w:val="1001"/>
        </w:numPr>
      </w:pPr>
      <w:r>
        <w:t xml:space="preserve">График количества заявок в очереди и график поведения системы (поступление и обработка заявок)</w:t>
      </w:r>
    </w:p>
    <w:bookmarkStart w:id="30" w:name="fig:002"/>
    <w:p>
      <w:pPr>
        <w:pStyle w:val="CaptionedFigure"/>
      </w:pPr>
      <w:r>
        <w:drawing>
          <wp:inline>
            <wp:extent cx="3733800" cy="2674086"/>
            <wp:effectExtent b="0" l="0" r="0" t="0"/>
            <wp:docPr descr="Рис. 2: Схема систе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системы</w:t>
      </w:r>
    </w:p>
    <w:bookmarkEnd w:id="30"/>
    <w:p>
      <w:pPr>
        <w:pStyle w:val="BodyText"/>
      </w:pPr>
      <w:r>
        <w:t xml:space="preserve">Поступление и обработка заявок были разбиты на 2 суперблока. Суперблок поступления выглядит как генератор равномерного распределения, от которого взят логарифм и домножен на -1/</w:t>
      </w:r>
      <m:oMath>
        <m:r>
          <m:t>λ</m:t>
        </m:r>
      </m:oMath>
      <w:r>
        <w:t xml:space="preserve"> 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3111500"/>
            <wp:effectExtent b="0" l="0" r="0" t="0"/>
            <wp:docPr descr="Рис. 3: Поступление заяв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Поступление заявок</w:t>
      </w:r>
    </w:p>
    <w:bookmarkEnd w:id="34"/>
    <w:p>
      <w:pPr>
        <w:pStyle w:val="BodyText"/>
      </w:pPr>
      <w:r>
        <w:t xml:space="preserve">Обработка заявок также вынесена в суперблок (рис. 4).</w:t>
      </w:r>
    </w:p>
    <w:bookmarkStart w:id="38" w:name="fig:004"/>
    <w:p>
      <w:pPr>
        <w:pStyle w:val="CaptionedFigure"/>
      </w:pPr>
      <w:r>
        <w:drawing>
          <wp:inline>
            <wp:extent cx="3733800" cy="2518328"/>
            <wp:effectExtent b="0" l="0" r="0" t="0"/>
            <wp:docPr descr="Рис. 4: Обработка заявок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Обработка заявок</w:t>
      </w:r>
    </w:p>
    <w:bookmarkEnd w:id="38"/>
    <w:p>
      <w:pPr>
        <w:pStyle w:val="BodyText"/>
      </w:pPr>
      <w:r>
        <w:t xml:space="preserve">После того, как мы запустили моделирование, мы получили 2 графика - количество заявок в очереди (рис. 5) и график работы системы (рис. 6).</w:t>
      </w:r>
    </w:p>
    <w:bookmarkStart w:id="42" w:name="fig:005"/>
    <w:p>
      <w:pPr>
        <w:pStyle w:val="CaptionedFigure"/>
      </w:pPr>
      <w:r>
        <w:drawing>
          <wp:inline>
            <wp:extent cx="3733800" cy="2719451"/>
            <wp:effectExtent b="0" l="0" r="0" t="0"/>
            <wp:docPr descr="Рис. 5: График длины очеред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длины очереди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3080995"/>
            <wp:effectExtent b="0" l="0" r="0" t="0"/>
            <wp:docPr descr="Рис. 6: Поступление/обработка заяво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Поступление/обработка заявок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смоделировали поведение однолинейной СМО М|M|1 с накопителем бесконечной ёмкости, а также построили график длины очереди и график поведения системы.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Надежда Александровна Рогожина</dc:creator>
  <dc:language>ru-RU</dc:language>
  <cp:keywords/>
  <dcterms:created xsi:type="dcterms:W3CDTF">2025-03-21T16:49:56Z</dcterms:created>
  <dcterms:modified xsi:type="dcterms:W3CDTF">2025-03-21T16:49:56Z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M|M|1|inf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