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Реализуйте упрощённую модель поведения TCP-подобного трафика с регулируемой некоторым AQM алгоритмом динамической интенсивностью потока.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Уравнения модели выглядят следующим образом: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W(t) = 1/R - 1/2R * W(t)*W(t-R)*K*Q(t-R)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Q(t) = NW(t)/R - C if Q(t)&gt;0 else max(NW(t)/R - C, 0)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настроим параметры моделирования (рис. 1).</w:t>
      </w:r>
    </w:p>
    <w:bookmarkStart w:id="25" w:name="fig:001"/>
    <w:p>
      <w:pPr>
        <w:pStyle w:val="CaptionedFigure"/>
      </w:pPr>
      <w:r>
        <w:drawing>
          <wp:inline>
            <wp:extent cx="3200400" cy="1696956"/>
            <wp:effectExtent b="0" l="0" r="0" t="0"/>
            <wp:docPr descr="Рис. 1: 100 секунд модельного времен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100 секунд модельного времени</w:t>
      </w:r>
    </w:p>
    <w:bookmarkEnd w:id="25"/>
    <w:p>
      <w:pPr>
        <w:pStyle w:val="BodyText"/>
      </w:pPr>
      <w:r>
        <w:t xml:space="preserve">Также, сразу установим переменные окружения (рис. 2).</w:t>
      </w:r>
    </w:p>
    <w:bookmarkStart w:id="29" w:name="fig:002"/>
    <w:p>
      <w:pPr>
        <w:pStyle w:val="CaptionedFigure"/>
      </w:pPr>
      <w:r>
        <w:drawing>
          <wp:inline>
            <wp:extent cx="3200400" cy="2135860"/>
            <wp:effectExtent b="0" l="0" r="0" t="0"/>
            <wp:docPr descr="Рис. 2: N;K;R;C;W0;Q0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N;K;R;C;W0;Q0</w:t>
      </w:r>
    </w:p>
    <w:bookmarkEnd w:id="29"/>
    <w:p>
      <w:pPr>
        <w:pStyle w:val="BodyText"/>
      </w:pPr>
      <w:r>
        <w:t xml:space="preserve">Следующий шаг - реализация схемы модели (рис. 3).</w:t>
      </w:r>
    </w:p>
    <w:bookmarkStart w:id="33" w:name="fig:003"/>
    <w:p>
      <w:pPr>
        <w:pStyle w:val="CaptionedFigure"/>
      </w:pPr>
      <w:r>
        <w:drawing>
          <wp:inline>
            <wp:extent cx="2667000" cy="1568271"/>
            <wp:effectExtent b="0" l="0" r="0" t="0"/>
            <wp:docPr descr="Рис. 3: Модель xco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xcos</w:t>
      </w:r>
    </w:p>
    <w:bookmarkEnd w:id="33"/>
    <w:p>
      <w:pPr>
        <w:pStyle w:val="BodyText"/>
      </w:pPr>
      <w:r>
        <w:t xml:space="preserve">Визуализировав результаты моделирования мы получили два графика (рис. 4, рис. 5). На первом отображена динамика изменения размера TCP окна W (t) (зеленая линия) и размера очереди Q(t) (черная линия). На второй представлен фазовый портрет (W, Q), который показывает наличие автоколебаний параметров системы — фазовая траектория осциллирует вокруг своей стационарной точки.</w:t>
      </w:r>
    </w:p>
    <w:bookmarkStart w:id="37" w:name="fig:004"/>
    <w:p>
      <w:pPr>
        <w:pStyle w:val="CaptionedFigure"/>
      </w:pPr>
      <w:r>
        <w:drawing>
          <wp:inline>
            <wp:extent cx="2667000" cy="1778000"/>
            <wp:effectExtent b="0" l="0" r="0" t="0"/>
            <wp:docPr descr="Рис. 4: Динамика изменения размера окна и размера очереди для С=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Динамика изменения размера окна и размера очереди для С=1</w:t>
      </w:r>
    </w:p>
    <w:bookmarkEnd w:id="37"/>
    <w:bookmarkStart w:id="41" w:name="fig:005"/>
    <w:p>
      <w:pPr>
        <w:pStyle w:val="CaptionedFigure"/>
      </w:pPr>
      <w:r>
        <w:drawing>
          <wp:inline>
            <wp:extent cx="2667000" cy="1778000"/>
            <wp:effectExtent b="0" l="0" r="0" t="0"/>
            <wp:docPr descr="Рис. 5: Фазовый портрет для С=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 для С=1</w:t>
      </w:r>
    </w:p>
    <w:bookmarkEnd w:id="41"/>
    <w:p>
      <w:pPr>
        <w:pStyle w:val="BodyText"/>
      </w:pPr>
      <w:r>
        <w:t xml:space="preserve">Также, посмотрим результаты для</w:t>
      </w:r>
      <w:r>
        <w:t xml:space="preserve"> </w:t>
      </w:r>
      <w:r>
        <w:rPr>
          <w:rStyle w:val="VerbatimChar"/>
        </w:rPr>
        <w:t xml:space="preserve">C=0.9</w:t>
      </w:r>
      <w:r>
        <w:t xml:space="preserve">(рис. 6, рис. 7).</w:t>
      </w:r>
    </w:p>
    <w:bookmarkStart w:id="45" w:name="fig:006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6: Динамика изменения размера окна и размера очереди для С=0.9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Динамика изменения размера окна и размера очереди для С=0.9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7: Фазовый портрет для С=0.9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 для С=0.9</w:t>
      </w:r>
    </w:p>
    <w:bookmarkEnd w:id="49"/>
    <w:p>
      <w:pPr>
        <w:pStyle w:val="BodyText"/>
      </w:pPr>
      <w:r>
        <w:t xml:space="preserve">Вторым этапом была реализация с помощью OpenModelica. Код, который был использован при построении модели: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rPr>
          <w:rStyle w:val="VerbatimChar"/>
        </w:rPr>
        <w:t xml:space="preserve">parameter Real W0=0.1;</w:t>
      </w:r>
      <w:r>
        <w:br/>
      </w:r>
      <w:r>
        <w:rPr>
          <w:rStyle w:val="VerbatimChar"/>
        </w:rPr>
        <w:t xml:space="preserve">parameter Real Q0=1;</w:t>
      </w:r>
      <w:r>
        <w:br/>
      </w:r>
      <w:r>
        <w:br/>
      </w:r>
      <w:r>
        <w:rPr>
          <w:rStyle w:val="VerbatimChar"/>
        </w:rPr>
        <w:t xml:space="preserve">Real W(start=W0);</w:t>
      </w:r>
      <w:r>
        <w:br/>
      </w:r>
      <w:r>
        <w:rPr>
          <w:rStyle w:val="VerbatimChar"/>
        </w:rPr>
        <w:t xml:space="preserve">Real Q(start=Q0);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 = 1/R - W*delay(W,R)*K*delay(Q,R)/(2*R);</w:t>
      </w:r>
      <w:r>
        <w:br/>
      </w:r>
      <w:r>
        <w:rPr>
          <w:rStyle w:val="VerbatimChar"/>
        </w:rPr>
        <w:t xml:space="preserve">der(Q) = if Q &gt; 0 then N*W/R-C else max(N*W/R-C,0);</w:t>
      </w:r>
      <w:r>
        <w:br/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Необходимо было также визуализировать результаты симуляции для С=1 (рис. 8, рис. 9) и для С=0.9 (рис. 10, рис. 11):</w:t>
      </w:r>
    </w:p>
    <w:bookmarkStart w:id="53" w:name="fig:008"/>
    <w:p>
      <w:pPr>
        <w:pStyle w:val="CaptionedFigure"/>
      </w:pPr>
      <w:r>
        <w:drawing>
          <wp:inline>
            <wp:extent cx="3733800" cy="1611829"/>
            <wp:effectExtent b="0" l="0" r="0" t="0"/>
            <wp:docPr descr="Рис. 8: Динамика изменения размера окна и размера очереди для С=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Динамика изменения размера окна и размера очереди для С=1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611829"/>
            <wp:effectExtent b="0" l="0" r="0" t="0"/>
            <wp:docPr descr="Рис. 9: Фазовый портрет для С=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для С=1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611829"/>
            <wp:effectExtent b="0" l="0" r="0" t="0"/>
            <wp:docPr descr="Рис. 10: Динамика изменения размера окна и размера очереди для С=0.9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размера окна и размера очереди для С=0.9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611829"/>
            <wp:effectExtent b="0" l="0" r="0" t="0"/>
            <wp:docPr descr="Рис. 11: Фазовый портрет для С=0.9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для С=0.9</w:t>
      </w:r>
    </w:p>
    <w:bookmarkEnd w:id="65"/>
    <w:p>
      <w:pPr>
        <w:pStyle w:val="BodyText"/>
      </w:pPr>
      <w:r>
        <w:t xml:space="preserve">Как мы видим, результаты мы получили те же, что и через xcos.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упрощённую модель поведения TCP-подобного трафика с регулируемой некоторым AQM алгоритмом динамической интенсивностью потока, а также визуализировали результаты симуляции поведения данной модели двумя способами - через xcos и через OpenModelica.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Надежда Александровна Рогожина</dc:creator>
  <dc:language>ru-RU</dc:language>
  <cp:keywords/>
  <dcterms:created xsi:type="dcterms:W3CDTF">2025-03-29T20:08:07Z</dcterms:created>
  <dcterms:modified xsi:type="dcterms:W3CDTF">2025-03-29T20:08:07Z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TCP/AQM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