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№11</w:t>
      </w:r>
    </w:p>
    <w:p>
      <w:pPr>
        <w:pStyle w:val="Subtitle"/>
      </w:pPr>
      <w:r>
        <w:t xml:space="preserve">СМО М/М/1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- FIFO. Если сервер находится в режиме ожидания (нет заявок на сервере), то заявка поступает на обработку сервером.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делам опишем граф (на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сделаем иерархию) системы и почти все необходимые декларации (рис. 1).</w:t>
      </w:r>
    </w:p>
    <w:bookmarkStart w:id="24" w:name="fig:001"/>
    <w:p>
      <w:pPr>
        <w:pStyle w:val="CaptionedFigure"/>
      </w:pPr>
      <w:r>
        <w:drawing>
          <wp:inline>
            <wp:extent cx="3733800" cy="2032363"/>
            <wp:effectExtent b="0" l="0" r="0" t="0"/>
            <wp:docPr descr="Рис. 1: Граф системы и декларац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системы и декларации</w:t>
      </w:r>
    </w:p>
    <w:bookmarkEnd w:id="24"/>
    <w:p>
      <w:pPr>
        <w:pStyle w:val="BodyText"/>
      </w:pPr>
      <w:r>
        <w:t xml:space="preserve">Далее, зададим необходимые функции (рис. 2).</w:t>
      </w:r>
    </w:p>
    <w:bookmarkStart w:id="28" w:name="fig:002"/>
    <w:p>
      <w:pPr>
        <w:pStyle w:val="CaptionedFigure"/>
      </w:pPr>
      <w:r>
        <w:drawing>
          <wp:inline>
            <wp:extent cx="2228369" cy="1252497"/>
            <wp:effectExtent b="0" l="0" r="0" t="0"/>
            <wp:docPr descr="Рис. 2: Функц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Функции</w:t>
      </w:r>
    </w:p>
    <w:bookmarkEnd w:id="28"/>
    <w:p>
      <w:pPr>
        <w:pStyle w:val="BodyText"/>
      </w:pPr>
      <w:r>
        <w:t xml:space="preserve">Опишем граф генератора заявок системы (</w:t>
      </w:r>
      <w:r>
        <w:rPr>
          <w:rStyle w:val="VerbatimChar"/>
        </w:rPr>
        <w:t xml:space="preserve">Arrivals</w:t>
      </w:r>
      <w:r>
        <w:t xml:space="preserve">) (рис. 3).</w:t>
      </w:r>
    </w:p>
    <w:bookmarkStart w:id="32" w:name="fig:003"/>
    <w:p>
      <w:pPr>
        <w:pStyle w:val="CaptionedFigure"/>
      </w:pPr>
      <w:r>
        <w:drawing>
          <wp:inline>
            <wp:extent cx="3733800" cy="1385524"/>
            <wp:effectExtent b="0" l="0" r="0" t="0"/>
            <wp:docPr descr="Рис. 3: Генератор заяв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Генератор заявок</w:t>
      </w:r>
    </w:p>
    <w:bookmarkEnd w:id="32"/>
    <w:p>
      <w:pPr>
        <w:pStyle w:val="BodyText"/>
      </w:pPr>
      <w:r>
        <w:t xml:space="preserve">И также опишем граф обработки заявок на сервере системы (</w:t>
      </w:r>
      <w:r>
        <w:rPr>
          <w:rStyle w:val="VerbatimChar"/>
        </w:rPr>
        <w:t xml:space="preserve">Server</w:t>
      </w:r>
      <w:r>
        <w:t xml:space="preserve">) (рис. 4).</w:t>
      </w:r>
    </w:p>
    <w:bookmarkStart w:id="36" w:name="fig:004"/>
    <w:p>
      <w:pPr>
        <w:pStyle w:val="CaptionedFigure"/>
      </w:pPr>
      <w:r>
        <w:drawing>
          <wp:inline>
            <wp:extent cx="3733800" cy="1563319"/>
            <wp:effectExtent b="0" l="0" r="0" t="0"/>
            <wp:docPr descr="Рис. 4: Обработка заявок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Обработка заявок</w:t>
      </w:r>
    </w:p>
    <w:bookmarkEnd w:id="36"/>
    <w:p>
      <w:pPr>
        <w:pStyle w:val="BodyText"/>
      </w:pPr>
      <w:r>
        <w:t xml:space="preserve">Также, нам необходимо реализовать (последовательно) 4 мониторинга системы. Первые два -</w:t>
      </w:r>
      <w:r>
        <w:t xml:space="preserve"> </w:t>
      </w:r>
      <w:r>
        <w:rPr>
          <w:rStyle w:val="VerbatimChar"/>
        </w:rPr>
        <w:t xml:space="preserve">Queue_Delay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Ostanovka</w:t>
      </w:r>
      <w:r>
        <w:t xml:space="preserve"> </w:t>
      </w:r>
      <w:r>
        <w:t xml:space="preserve">(рис. 5).</w:t>
      </w:r>
    </w:p>
    <w:bookmarkStart w:id="40" w:name="fig:005"/>
    <w:p>
      <w:pPr>
        <w:pStyle w:val="CaptionedFigure"/>
      </w:pPr>
      <w:r>
        <w:drawing>
          <wp:inline>
            <wp:extent cx="3733800" cy="2698430"/>
            <wp:effectExtent b="0" l="0" r="0" t="0"/>
            <wp:docPr descr="Рис. 5: Queue_Delay, Ostanovka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Queue_Delay, Ostanovka</w:t>
      </w:r>
    </w:p>
    <w:bookmarkEnd w:id="40"/>
    <w:p>
      <w:pPr>
        <w:pStyle w:val="BodyText"/>
      </w:pPr>
      <w:r>
        <w:t xml:space="preserve">Запустив около 100 шагов моделирования, мы получили текстовый лог</w:t>
      </w:r>
      <w:r>
        <w:t xml:space="preserve"> </w:t>
      </w:r>
      <w:r>
        <w:rPr>
          <w:rStyle w:val="VerbatimChar"/>
        </w:rPr>
        <w:t xml:space="preserve">Queue_Delay.log</w:t>
      </w:r>
      <w:r>
        <w:t xml:space="preserve"> </w:t>
      </w:r>
      <w:r>
        <w:t xml:space="preserve">(рис. 6).</w:t>
      </w:r>
    </w:p>
    <w:bookmarkStart w:id="44" w:name="fig:006"/>
    <w:p>
      <w:pPr>
        <w:pStyle w:val="CaptionedFigure"/>
      </w:pPr>
      <w:r>
        <w:drawing>
          <wp:inline>
            <wp:extent cx="3733800" cy="3722240"/>
            <wp:effectExtent b="0" l="0" r="0" t="0"/>
            <wp:docPr descr="Рис. 6: Результа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bookmarkEnd w:id="44"/>
    <w:p>
      <w:pPr>
        <w:pStyle w:val="BodyText"/>
      </w:pPr>
      <w:r>
        <w:t xml:space="preserve">С помощью GNUplot мы его визуализировали и получили следующий график (рис. 7).</w:t>
      </w:r>
    </w:p>
    <w:bookmarkStart w:id="48" w:name="fig:007"/>
    <w:p>
      <w:pPr>
        <w:pStyle w:val="CaptionedFigure"/>
      </w:pPr>
      <w:r>
        <w:drawing>
          <wp:inline>
            <wp:extent cx="3733800" cy="2257753"/>
            <wp:effectExtent b="0" l="0" r="0" t="0"/>
            <wp:docPr descr="Рис. 7: Queue_Delay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Queue_Delay</w:t>
      </w:r>
    </w:p>
    <w:bookmarkEnd w:id="48"/>
    <w:p>
      <w:pPr>
        <w:pStyle w:val="BodyText"/>
      </w:pPr>
      <w:r>
        <w:t xml:space="preserve">Третий мониторинг системы это</w:t>
      </w:r>
      <w:r>
        <w:t xml:space="preserve"> </w:t>
      </w:r>
      <w:r>
        <w:rPr>
          <w:rStyle w:val="VerbatimChar"/>
        </w:rPr>
        <w:t xml:space="preserve">Queue_Delay_Real</w:t>
      </w:r>
      <w:r>
        <w:t xml:space="preserve">. Он повторяет</w:t>
      </w:r>
      <w:r>
        <w:t xml:space="preserve"> </w:t>
      </w:r>
      <w:r>
        <w:rPr>
          <w:rStyle w:val="VerbatimChar"/>
        </w:rPr>
        <w:t xml:space="preserve">Queue_Delay</w:t>
      </w:r>
      <w:r>
        <w:t xml:space="preserve">, только в действительных значениях (рис. 8).</w:t>
      </w:r>
    </w:p>
    <w:bookmarkStart w:id="52" w:name="fig:008"/>
    <w:p>
      <w:pPr>
        <w:pStyle w:val="CaptionedFigure"/>
      </w:pPr>
      <w:r>
        <w:drawing>
          <wp:inline>
            <wp:extent cx="3473183" cy="1867220"/>
            <wp:effectExtent b="0" l="0" r="0" t="0"/>
            <wp:docPr descr="Рис. 8: Queue_Delay_Real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Queue_Delay_Real</w:t>
      </w:r>
    </w:p>
    <w:bookmarkEnd w:id="52"/>
    <w:p>
      <w:pPr>
        <w:pStyle w:val="BodyText"/>
      </w:pPr>
      <w:r>
        <w:t xml:space="preserve">Сбросив моделирование до начальной точки и запустив заново, получили задержку в действительных числах (рис. 9).</w:t>
      </w:r>
    </w:p>
    <w:bookmarkStart w:id="56" w:name="fig:009"/>
    <w:p>
      <w:pPr>
        <w:pStyle w:val="CaptionedFigure"/>
      </w:pPr>
      <w:r>
        <w:drawing>
          <wp:inline>
            <wp:extent cx="3733800" cy="3722240"/>
            <wp:effectExtent b="0" l="0" r="0" t="0"/>
            <wp:docPr descr="Рис. 9: Queue_Delay_Real.log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Queue_Delay_Real.log</w:t>
      </w:r>
    </w:p>
    <w:bookmarkEnd w:id="56"/>
    <w:p>
      <w:pPr>
        <w:pStyle w:val="BodyText"/>
      </w:pPr>
      <w:r>
        <w:t xml:space="preserve">С помощью GNUplot мы его визуализировали и получили следующий график (рис. 10).</w:t>
      </w:r>
    </w:p>
    <w:bookmarkStart w:id="60" w:name="fig:010"/>
    <w:p>
      <w:pPr>
        <w:pStyle w:val="CaptionedFigure"/>
      </w:pPr>
      <w:r>
        <w:drawing>
          <wp:inline>
            <wp:extent cx="3733800" cy="2248506"/>
            <wp:effectExtent b="0" l="0" r="0" t="0"/>
            <wp:docPr descr="Рис. 10: Queue_Delay_Real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Queue_Delay_Real</w:t>
      </w:r>
    </w:p>
    <w:bookmarkEnd w:id="60"/>
    <w:p>
      <w:pPr>
        <w:pStyle w:val="BodyText"/>
      </w:pPr>
      <w:r>
        <w:t xml:space="preserve">Последний мониторинг, который было необходимо реализовать -</w:t>
      </w:r>
      <w:r>
        <w:t xml:space="preserve"> </w:t>
      </w:r>
      <w:r>
        <w:rPr>
          <w:rStyle w:val="VerbatimChar"/>
        </w:rPr>
        <w:t xml:space="preserve">Long_Delay_Time</w:t>
      </w:r>
      <w:r>
        <w:t xml:space="preserve"> </w:t>
      </w:r>
      <w:r>
        <w:t xml:space="preserve">(рис. 11). Здесь будем считать, сколько раз задержка превысила заданнное значение. Также было необходимо задать еще одну декларацию -</w:t>
      </w:r>
      <w:r>
        <w:t xml:space="preserve"> </w:t>
      </w:r>
      <w:r>
        <w:rPr>
          <w:rStyle w:val="VerbatimChar"/>
        </w:rPr>
        <w:t xml:space="preserve">longdelaytime</w:t>
      </w:r>
      <w:r>
        <w:t xml:space="preserve">.</w:t>
      </w:r>
    </w:p>
    <w:bookmarkStart w:id="64" w:name="fig:011"/>
    <w:p>
      <w:pPr>
        <w:pStyle w:val="CaptionedFigure"/>
      </w:pPr>
      <w:r>
        <w:drawing>
          <wp:inline>
            <wp:extent cx="3150453" cy="2166897"/>
            <wp:effectExtent b="0" l="0" r="0" t="0"/>
            <wp:docPr descr="Рис. 11: Long_Delay_Time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Long_Delay_Time</w:t>
      </w:r>
    </w:p>
    <w:bookmarkEnd w:id="64"/>
    <w:p>
      <w:pPr>
        <w:pStyle w:val="BodyText"/>
      </w:pPr>
      <w:r>
        <w:t xml:space="preserve">Повторив обнуление и 100 шагов, получили результат симуляции</w:t>
      </w:r>
      <w:r>
        <w:t xml:space="preserve"> </w:t>
      </w:r>
      <w:r>
        <w:rPr>
          <w:rStyle w:val="VerbatimChar"/>
        </w:rPr>
        <w:t xml:space="preserve">Long_Delay_Time.log</w:t>
      </w:r>
      <w:r>
        <w:t xml:space="preserve"> </w:t>
      </w:r>
      <w:r>
        <w:t xml:space="preserve">(рис. 12).</w:t>
      </w:r>
    </w:p>
    <w:bookmarkStart w:id="68" w:name="fig:012"/>
    <w:p>
      <w:pPr>
        <w:pStyle w:val="CaptionedFigure"/>
      </w:pPr>
      <w:r>
        <w:drawing>
          <wp:inline>
            <wp:extent cx="3733800" cy="4887331"/>
            <wp:effectExtent b="0" l="0" r="0" t="0"/>
            <wp:docPr descr="Рис. 12: Long_Delay_Time.log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Long_Delay_Time.log</w:t>
      </w:r>
    </w:p>
    <w:bookmarkEnd w:id="68"/>
    <w:p>
      <w:pPr>
        <w:pStyle w:val="BodyText"/>
      </w:pPr>
      <w:r>
        <w:t xml:space="preserve">Визуализируем количество превышений (рис. 13).</w:t>
      </w:r>
    </w:p>
    <w:bookmarkStart w:id="72" w:name="fig:013"/>
    <w:p>
      <w:pPr>
        <w:pStyle w:val="CaptionedFigure"/>
      </w:pPr>
      <w:r>
        <w:drawing>
          <wp:inline>
            <wp:extent cx="3733800" cy="2259569"/>
            <wp:effectExtent b="0" l="0" r="0" t="0"/>
            <wp:docPr descr="Рис. 13: Long_Delay_Time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Long_Delay_Time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смоделировали поведение СМО М/М/1 с помощью CpnTools.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Надежда Александровна Рогожина</dc:creator>
  <dc:language>ru-RU</dc:language>
  <cp:keywords/>
  <dcterms:created xsi:type="dcterms:W3CDTF">2025-04-19T08:47:36Z</dcterms:created>
  <dcterms:modified xsi:type="dcterms:W3CDTF">2025-04-19T08:47:36Z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СМО М/М/1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