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 информацию. Накопители (B1 и B2) могут работать в 3-х режимах:</w:t>
      </w:r>
    </w:p>
    <w:p>
      <w:pPr>
        <w:numPr>
          <w:ilvl w:val="0"/>
          <w:numId w:val="1001"/>
        </w:numPr>
      </w:pPr>
      <w:r>
        <w:t xml:space="preserve">B1 — занят, B2 — свободен;</w:t>
      </w:r>
    </w:p>
    <w:p>
      <w:pPr>
        <w:numPr>
          <w:ilvl w:val="0"/>
          <w:numId w:val="1001"/>
        </w:numPr>
      </w:pPr>
      <w:r>
        <w:t xml:space="preserve">B2 — свободен, B1 — занят;</w:t>
      </w:r>
    </w:p>
    <w:p>
      <w:pPr>
        <w:numPr>
          <w:ilvl w:val="0"/>
          <w:numId w:val="1001"/>
        </w:numPr>
      </w:pPr>
      <w:r>
        <w:t xml:space="preserve">B1 — занят, B2 — занят.</w:t>
      </w:r>
    </w:p>
    <w:p>
      <w:pPr>
        <w:pStyle w:val="FirstParagraph"/>
      </w:pPr>
      <w:r>
        <w:t xml:space="preserve">Схема модели представлена на рис. 1.</w:t>
      </w:r>
    </w:p>
    <w:bookmarkStart w:id="23" w:name="fig:001"/>
    <w:p>
      <w:pPr>
        <w:pStyle w:val="CaptionedFigure"/>
      </w:pPr>
      <w:r>
        <w:drawing>
          <wp:inline>
            <wp:extent cx="2667000" cy="1286565"/>
            <wp:effectExtent b="0" l="0" r="0" t="0"/>
            <wp:docPr descr="Рис. 1: Схема модели к реализации" title="" id="21" name="Picture"/>
            <a:graphic>
              <a:graphicData uri="http://schemas.openxmlformats.org/drawingml/2006/picture">
                <pic:pic>
                  <pic:nvPicPr>
                    <pic:cNvPr descr="image/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 к реализации</w:t>
      </w:r>
    </w:p>
    <w:bookmarkEnd w:id="23"/>
    <w:bookmarkEnd w:id="24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Нам была дана схема сети для выполнения домашнего задания (рис. 2).</w:t>
      </w:r>
    </w:p>
    <w:bookmarkStart w:id="28" w:name="fig:002"/>
    <w:p>
      <w:pPr>
        <w:pStyle w:val="CaptionedFigure"/>
      </w:pPr>
      <w:r>
        <w:drawing>
          <wp:inline>
            <wp:extent cx="2667000" cy="2468684"/>
            <wp:effectExtent b="0" l="0" r="0" t="0"/>
            <wp:docPr descr="Рис. 2: Схема сети" title="" id="26" name="Picture"/>
            <a:graphic>
              <a:graphicData uri="http://schemas.openxmlformats.org/drawingml/2006/picture">
                <pic:pic>
                  <pic:nvPicPr>
                    <pic:cNvPr descr="image/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сети</w:t>
      </w:r>
    </w:p>
    <w:bookmarkEnd w:id="28"/>
    <w:p>
      <w:pPr>
        <w:pStyle w:val="BodyText"/>
      </w:pPr>
      <w:r>
        <w:t xml:space="preserve">Первое что необходимо было сделать - проанализировать сеть с помощью дерева достижимости (рис. 3).</w:t>
      </w:r>
    </w:p>
    <w:bookmarkStart w:id="32" w:name="fig:003"/>
    <w:p>
      <w:pPr>
        <w:pStyle w:val="CaptionedFigure"/>
      </w:pPr>
      <w:r>
        <w:drawing>
          <wp:inline>
            <wp:extent cx="2667000" cy="2910908"/>
            <wp:effectExtent b="0" l="0" r="0" t="0"/>
            <wp:docPr descr="Рис. 3: Дерево достижимости и анализ сети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1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Дерево достижимости и анализ сети</w:t>
      </w:r>
    </w:p>
    <w:bookmarkEnd w:id="32"/>
    <w:p>
      <w:pPr>
        <w:pStyle w:val="BodyText"/>
      </w:pPr>
      <w:r>
        <w:t xml:space="preserve">Следующим этапом необходимо было реализовать эту сеть в</w:t>
      </w:r>
      <w:r>
        <w:t xml:space="preserve"> </w:t>
      </w:r>
      <w:r>
        <w:rPr>
          <w:rStyle w:val="VerbatimChar"/>
        </w:rPr>
        <w:t xml:space="preserve">CpnTools</w:t>
      </w:r>
      <w:r>
        <w:t xml:space="preserve">. Для начала, объявим декларации (рис. 4).</w:t>
      </w:r>
    </w:p>
    <w:bookmarkStart w:id="36" w:name="fig:004"/>
    <w:p>
      <w:pPr>
        <w:pStyle w:val="CaptionedFigure"/>
      </w:pPr>
      <w:r>
        <w:drawing>
          <wp:inline>
            <wp:extent cx="2013216" cy="1590594"/>
            <wp:effectExtent b="0" l="0" r="0" t="0"/>
            <wp:docPr descr="Рис. 4: Декларации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</w:t>
      </w:r>
    </w:p>
    <w:bookmarkEnd w:id="36"/>
    <w:p>
      <w:pPr>
        <w:pStyle w:val="BodyText"/>
      </w:pPr>
      <w:r>
        <w:t xml:space="preserve">Также, построим саму сеть (рис. 5).</w:t>
      </w:r>
    </w:p>
    <w:bookmarkStart w:id="40" w:name="fig:005"/>
    <w:p>
      <w:pPr>
        <w:pStyle w:val="CaptionedFigure"/>
      </w:pPr>
      <w:r>
        <w:drawing>
          <wp:inline>
            <wp:extent cx="2667000" cy="1735715"/>
            <wp:effectExtent b="0" l="0" r="0" t="0"/>
            <wp:docPr descr="Рис. 5: Сеть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3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Сеть</w:t>
      </w:r>
    </w:p>
    <w:bookmarkEnd w:id="40"/>
    <w:p>
      <w:pPr>
        <w:pStyle w:val="BodyText"/>
      </w:pPr>
      <w:r>
        <w:t xml:space="preserve">Войдя в пространство состояний и построив граф состояний, был сформирован отчет (рис. 6, рис. 7).</w:t>
      </w:r>
    </w:p>
    <w:bookmarkStart w:id="44" w:name="fig:006"/>
    <w:p>
      <w:pPr>
        <w:pStyle w:val="CaptionedFigure"/>
      </w:pPr>
      <w:r>
        <w:drawing>
          <wp:inline>
            <wp:extent cx="2667000" cy="3478695"/>
            <wp:effectExtent b="0" l="0" r="0" t="0"/>
            <wp:docPr descr="Рис. 6: Отчет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</w:t>
      </w:r>
    </w:p>
    <w:bookmarkEnd w:id="44"/>
    <w:bookmarkStart w:id="48" w:name="fig:007"/>
    <w:p>
      <w:pPr>
        <w:pStyle w:val="CaptionedFigure"/>
      </w:pPr>
      <w:r>
        <w:drawing>
          <wp:inline>
            <wp:extent cx="2667000" cy="3059604"/>
            <wp:effectExtent b="0" l="0" r="0" t="0"/>
            <wp:docPr descr="Рис. 7: Отчет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5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</w:t>
      </w:r>
    </w:p>
    <w:bookmarkEnd w:id="48"/>
    <w:p>
      <w:pPr>
        <w:pStyle w:val="BodyText"/>
      </w:pPr>
      <w:r>
        <w:t xml:space="preserve">В ходе анализа отчета было определено, что:</w:t>
      </w:r>
    </w:p>
    <w:p>
      <w:pPr>
        <w:pStyle w:val="Compact"/>
        <w:numPr>
          <w:ilvl w:val="0"/>
          <w:numId w:val="1002"/>
        </w:numPr>
      </w:pPr>
      <w:r>
        <w:t xml:space="preserve">Система имеет 5 уникальных состояний (узлов).</w:t>
      </w:r>
    </w:p>
    <w:p>
      <w:pPr>
        <w:pStyle w:val="Compact"/>
        <w:numPr>
          <w:ilvl w:val="0"/>
          <w:numId w:val="1002"/>
        </w:numPr>
      </w:pPr>
      <w:r>
        <w:t xml:space="preserve">Между состояниями существует 10 переходов (дуг).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P1</w:t>
      </w:r>
      <w:r>
        <w:t xml:space="preserve"> </w:t>
      </w:r>
      <w:r>
        <w:t xml:space="preserve">содержит 1 фишку типа</w:t>
      </w:r>
      <w:r>
        <w:t xml:space="preserve"> </w:t>
      </w:r>
      <w:r>
        <w:rPr>
          <w:rStyle w:val="VerbatimChar"/>
        </w:rPr>
        <w:t xml:space="preserve">memory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P4</w:t>
      </w:r>
      <w:r>
        <w:t xml:space="preserve"> </w:t>
      </w:r>
      <w:r>
        <w:t xml:space="preserve">могут содержать</w:t>
      </w:r>
      <w:r>
        <w:t xml:space="preserve"> </w:t>
      </w:r>
      <w:r>
        <w:rPr>
          <w:rStyle w:val="VerbatimChar"/>
        </w:rPr>
        <w:t xml:space="preserve">storage1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P3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P5</w:t>
      </w:r>
      <w:r>
        <w:t xml:space="preserve"> </w:t>
      </w:r>
      <w:r>
        <w:t xml:space="preserve">могут содержать</w:t>
      </w:r>
      <w:r>
        <w:t xml:space="preserve"> </w:t>
      </w:r>
      <w:r>
        <w:rPr>
          <w:rStyle w:val="VerbatimChar"/>
        </w:rPr>
        <w:t xml:space="preserve">storage2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Только</w:t>
      </w:r>
      <w:r>
        <w:t xml:space="preserve"> </w:t>
      </w:r>
      <w:r>
        <w:rPr>
          <w:rStyle w:val="VerbatimChar"/>
        </w:rPr>
        <w:t xml:space="preserve">P1</w:t>
      </w:r>
      <w:r>
        <w:t xml:space="preserve"> </w:t>
      </w:r>
      <w:r>
        <w:t xml:space="preserve">гарантированно содержит</w:t>
      </w:r>
      <w:r>
        <w:t xml:space="preserve"> </w:t>
      </w:r>
      <w:r>
        <w:rPr>
          <w:rStyle w:val="VerbatimChar"/>
        </w:rPr>
        <w:t xml:space="preserve">memory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Остальные позиции могут быть пустыми.</w:t>
      </w:r>
    </w:p>
    <w:p>
      <w:pPr>
        <w:pStyle w:val="Compact"/>
        <w:numPr>
          <w:ilvl w:val="0"/>
          <w:numId w:val="1002"/>
        </w:numPr>
      </w:pPr>
      <w:r>
        <w:t xml:space="preserve">Из любого состояния можно вернуться в любое другое (все они</w:t>
      </w:r>
      <w:r>
        <w:t xml:space="preserve"> </w:t>
      </w:r>
      <w:r>
        <w:rPr>
          <w:i/>
          <w:iCs/>
        </w:rPr>
        <w:t xml:space="preserve">домашние</w:t>
      </w:r>
      <w:r>
        <w:t xml:space="preserve"> </w:t>
      </w:r>
      <w:r>
        <w:t xml:space="preserve">-&gt; всегда можно вернуться в начальное состояние).</w:t>
      </w:r>
    </w:p>
    <w:p>
      <w:pPr>
        <w:pStyle w:val="Compact"/>
        <w:numPr>
          <w:ilvl w:val="0"/>
          <w:numId w:val="1002"/>
        </w:numPr>
      </w:pPr>
      <w:r>
        <w:t xml:space="preserve">Нет ни мертвых состояний, ни мертвых переходов, т.е. в любом состоянии рано или поздно переходы могут сработать -&gt; модель</w:t>
      </w:r>
      <w:r>
        <w:t xml:space="preserve"> </w:t>
      </w:r>
      <w:r>
        <w:t xml:space="preserve">“живая”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Нет переходов, требующих беспристрастного выполнения.</w:t>
      </w:r>
    </w:p>
    <w:p>
      <w:pPr>
        <w:pStyle w:val="Compact"/>
        <w:numPr>
          <w:ilvl w:val="0"/>
          <w:numId w:val="1002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Т6</w:t>
      </w:r>
      <w:r>
        <w:t xml:space="preserve"> </w:t>
      </w:r>
      <w:r>
        <w:t xml:space="preserve">должен срабатывать бесконечно часто, если он постоянно доступен.</w:t>
      </w:r>
    </w:p>
    <w:p>
      <w:pPr>
        <w:pStyle w:val="Compact"/>
        <w:numPr>
          <w:ilvl w:val="0"/>
          <w:numId w:val="1002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T5</w:t>
      </w:r>
      <w:r>
        <w:t xml:space="preserve"> </w:t>
      </w:r>
      <w:r>
        <w:t xml:space="preserve">не может быть вечно заблокирован, если он бесконечно часто становится доступным.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смоделировали поведение данной нам модели c помощью CpnTools.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№13</dc:title>
  <dc:creator>Надежда Александровна Рогожина</dc:creator>
  <dc:language>ru-RU</dc:language>
  <cp:keywords/>
  <dcterms:created xsi:type="dcterms:W3CDTF">2025-05-01T17:00:41Z</dcterms:created>
  <dcterms:modified xsi:type="dcterms:W3CDTF">2025-05-01T17:00:41Z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