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Рогожина</w:t>
      </w:r>
      <w:r>
        <w:t xml:space="preserve"> </w:t>
      </w:r>
      <w:r>
        <w:t xml:space="preserve">Надежда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языка Assembler, освоение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каталоге ~/work/arch-pc/lab05 с помощью команды cp создайте копию файла hello.asm с именем lab5.asm</w:t>
      </w:r>
    </w:p>
    <w:p>
      <w:pPr>
        <w:numPr>
          <w:ilvl w:val="0"/>
          <w:numId w:val="1001"/>
        </w:numPr>
      </w:pPr>
      <w:r>
        <w:t xml:space="preserve">С помощью любого текстового редактора внесите изменения в текст программы в файле lab5.asm так, чтобы вместо Hello world! на экран выводилась строка с вашими фамилией и именем.</w:t>
      </w:r>
    </w:p>
    <w:p>
      <w:pPr>
        <w:numPr>
          <w:ilvl w:val="0"/>
          <w:numId w:val="1001"/>
        </w:numPr>
      </w:pPr>
      <w:r>
        <w:t xml:space="preserve">Оттранслируйте полученный текст программы lab5.asm в объектный файл. Выполните компоновку объектного файла и запустите получившийся исполняемый файл.</w:t>
      </w:r>
    </w:p>
    <w:p>
      <w:pPr>
        <w:numPr>
          <w:ilvl w:val="0"/>
          <w:numId w:val="1001"/>
        </w:numPr>
      </w:pPr>
      <w:r>
        <w:t xml:space="preserve">Скопируйте файлы hello.asm и lab5.asm в Ваш локальный репозиторий в каталог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/arch-pc/labs/lab05/. Загрузите файлы на Github.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основные-принципы-работы-компьют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принципы работы компьютера</w:t>
      </w:r>
    </w:p>
    <w:p>
      <w:pPr>
        <w:pStyle w:val="FirstParagraph"/>
      </w:pPr>
      <w:r>
        <w:t xml:space="preserve">Основными функциональными элементами любой электронно-вычислительной машины (ЭВМ) являются центральный процессор, память и периферийные устройства.</w:t>
      </w:r>
    </w:p>
    <w:p>
      <w:pPr>
        <w:pStyle w:val="BodyText"/>
      </w:pPr>
      <w:r>
        <w:t xml:space="preserve">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(системной) плате.</w:t>
      </w:r>
    </w:p>
    <w:p>
      <w:pPr>
        <w:pStyle w:val="BodyText"/>
      </w:pPr>
      <w:r>
        <w:t xml:space="preserve">Основной задачей процессора является обработка информации, а также организация координации всех узлов компьютера. В состав центрального процессора (ЦП) входят следующие устройства: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арифметико-логическое устройство (АЛУ)</w:t>
      </w:r>
      <w:r>
        <w:t xml:space="preserve"> </w:t>
      </w:r>
      <w:r>
        <w:t xml:space="preserve">— выполняет логические и арифметические действия, необходимые для обработки информации, хранящейся в памяти;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устройство управления (УУ)</w:t>
      </w:r>
      <w:r>
        <w:t xml:space="preserve"> </w:t>
      </w:r>
      <w:r>
        <w:t xml:space="preserve">— обеспечивает управление и контроль всех устройств компьютера;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регистры</w:t>
      </w:r>
      <w:r>
        <w:t xml:space="preserve"> </w:t>
      </w:r>
      <w:r>
        <w:t xml:space="preserve">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процессора делятся на два типа:</w:t>
      </w:r>
      <w:r>
        <w:t xml:space="preserve"> </w:t>
      </w:r>
      <w:r>
        <w:rPr>
          <w:iCs/>
          <w:i/>
        </w:rPr>
        <w:t xml:space="preserve">регистры общего назначения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специальные регистры</w:t>
      </w:r>
      <w:r>
        <w:t xml:space="preserve">.</w:t>
      </w:r>
    </w:p>
    <w:p>
      <w:pPr>
        <w:pStyle w:val="BodyText"/>
      </w:pPr>
      <w:r>
        <w:t xml:space="preserve">Другим важным узлом ЭВМ является</w:t>
      </w:r>
      <w:r>
        <w:t xml:space="preserve"> </w:t>
      </w:r>
      <w:r>
        <w:rPr>
          <w:bCs/>
          <w:b/>
        </w:rPr>
        <w:t xml:space="preserve">оперативное запоминающее устройство (ОЗУ)</w:t>
      </w:r>
      <w:r>
        <w:t xml:space="preserve">. ОЗУ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момент. ОЗУ состоит из одинаковых пронумерованных ячеек памяти. Номер ячейки памяти — это адрес хранящихся в ней данных.</w:t>
      </w:r>
    </w:p>
    <w:p>
      <w:pPr>
        <w:pStyle w:val="BodyText"/>
      </w:pPr>
      <w:r>
        <w:t xml:space="preserve">В состав ЭВМ также входят периферийные устройства, которые можно разделить на: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устройства внешней памяти</w:t>
      </w:r>
      <w:r>
        <w:t xml:space="preserve">, которые предназначены для долговременного хранения больших объёмов данных (жёсткие диски, твердотельные накопители, магнитные ленты);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устройства ввода-вывода</w:t>
      </w:r>
      <w:r>
        <w:t xml:space="preserve">, которые обеспечивают взаимодействие ЦП с внешней средой.</w:t>
      </w:r>
    </w:p>
    <w:p>
      <w:pPr>
        <w:pStyle w:val="BodyText"/>
      </w:pPr>
      <w:r>
        <w:t xml:space="preserve">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В самом общем виде он заключается в следующем:</w:t>
      </w:r>
    </w:p>
    <w:p>
      <w:pPr>
        <w:numPr>
          <w:ilvl w:val="0"/>
          <w:numId w:val="1002"/>
        </w:numPr>
      </w:pPr>
      <w:r>
        <w:t xml:space="preserve">Формирование адреса в памяти очередной команды;</w:t>
      </w:r>
    </w:p>
    <w:p>
      <w:pPr>
        <w:numPr>
          <w:ilvl w:val="0"/>
          <w:numId w:val="1002"/>
        </w:numPr>
      </w:pPr>
      <w:r>
        <w:t xml:space="preserve">Считывание кода команды из памяти и её дешифрация;</w:t>
      </w:r>
    </w:p>
    <w:p>
      <w:pPr>
        <w:numPr>
          <w:ilvl w:val="0"/>
          <w:numId w:val="1002"/>
        </w:numPr>
      </w:pPr>
      <w:r>
        <w:t xml:space="preserve">Выполнение команды;</w:t>
      </w:r>
    </w:p>
    <w:p>
      <w:pPr>
        <w:numPr>
          <w:ilvl w:val="0"/>
          <w:numId w:val="1002"/>
        </w:numPr>
      </w:pPr>
      <w:r>
        <w:t xml:space="preserve">Переход к следующей команде.</w:t>
      </w:r>
    </w:p>
    <w:p>
      <w:pPr>
        <w:pStyle w:val="FirstParagraph"/>
      </w:pPr>
      <w:r>
        <w:t xml:space="preserve">Данный алгоритм позволяет выполнить хранящуюся в ОЗУ программу. Кроме того, в зависимости от команды при её выполнении могут проходить не все этапы.</w:t>
      </w:r>
    </w:p>
    <w:bookmarkEnd w:id="22"/>
    <w:bookmarkStart w:id="23" w:name="ассемблер-и-язык-ассембл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Ассемблер и язык ассемблера</w:t>
      </w:r>
    </w:p>
    <w:p>
      <w:pPr>
        <w:pStyle w:val="FirstParagraph"/>
      </w:pPr>
      <w:r>
        <w:rPr>
          <w:bCs/>
          <w:b/>
        </w:rPr>
        <w:t xml:space="preserve">Язык ассемблера (assembly language, сокращённо asm)</w:t>
      </w:r>
      <w:r>
        <w:t xml:space="preserve"> </w:t>
      </w:r>
      <w:r>
        <w:t xml:space="preserve">— машинно-ориентированный язык низкого уровня. Можно считать, что он больше любых других языков приближен к архитектуре ЭВМ и её аппаратным возможностям, что позволяет получить к ним более полный доступ, нежели в языках высокого уровня, таких как C/C++, Perl, Python и пр. Заметим, что получить полный доступ</w:t>
      </w:r>
      <w:r>
        <w:t xml:space="preserve"> </w:t>
      </w:r>
      <w:r>
        <w:t xml:space="preserve">к ресурсам компьютера в современных архитектурах нельзя, самым низким уровнем работы прикладной программы является обращение напрямую к ядру операционной системы. Именно на этом уровне и работают программы, написанные на ассемблере. Но в отличие от языков высокого уровня ассемблерная программа содержит только тот код, который ввёл программист. Таким образом</w:t>
      </w:r>
      <w:r>
        <w:t xml:space="preserve"> </w:t>
      </w:r>
      <w:r>
        <w:t xml:space="preserve">язык ассемблера — это язык, с помощью которого понятным для человека образом пишутся команды для процессора.</w:t>
      </w:r>
    </w:p>
    <w:p>
      <w:pPr>
        <w:pStyle w:val="BodyText"/>
      </w:pPr>
      <w:r>
        <w:t xml:space="preserve">Следует отметить, что процессор понимает не команды ассемблера, а последовательности из нулей и единиц —</w:t>
      </w:r>
      <w:r>
        <w:t xml:space="preserve"> </w:t>
      </w:r>
      <w:r>
        <w:rPr>
          <w:bCs/>
          <w:b/>
        </w:rPr>
        <w:t xml:space="preserve">машинные коды</w:t>
      </w:r>
      <w:r>
        <w:t xml:space="preserve">. До появления языков ассемблера программистам приходилось писать программы, используя только лишь машинные коды, которые были крайне сложны для запоминания, так как представляли собой числа, записанные в двоичной или шестнадцатеричной системе счисления. Преобразование или трансляция команд с языка ассемблера в исполняемый машинный код осуществляется специальной программой транслятором —</w:t>
      </w:r>
      <w:r>
        <w:t xml:space="preserve"> </w:t>
      </w:r>
      <w:r>
        <w:rPr>
          <w:bCs/>
          <w:b/>
        </w:rPr>
        <w:t xml:space="preserve">Ассемблер</w:t>
      </w:r>
      <w:r>
        <w:t xml:space="preserve">.</w:t>
      </w:r>
    </w:p>
    <w:bookmarkEnd w:id="23"/>
    <w:bookmarkStart w:id="24" w:name="X310c182b2f11788f30ff9ceb7453c607ff33b2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Процесс создания и обработки программы на языке ассемблера</w:t>
      </w:r>
    </w:p>
    <w:p>
      <w:pPr>
        <w:pStyle w:val="FirstParagraph"/>
      </w:pPr>
      <w:r>
        <w:t xml:space="preserve">В процессе создания ассемблерной программы можно выделить четыре шага: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Набор текста</w:t>
      </w:r>
      <w:r>
        <w:t xml:space="preserve"> </w:t>
      </w:r>
      <w:r>
        <w:t xml:space="preserve">программы в текстовом редакторе и сохранение её в отдельном файле. Каждый файл имеет свой тип (или расширение), который определяет назначение файла. Файлы с исходным текстом программ на языке ассемблера имеют тип asm.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Трансляция</w:t>
      </w:r>
      <w:r>
        <w:t xml:space="preserve"> </w:t>
      </w:r>
      <w:r>
        <w:t xml:space="preserve">— преобразование с помощью транслятора, например nasm, текста программы в машинный код, называемый объектным. На данном этапе также может быть получен листинг программы, содержащий кроме текста программы различную дополнительную информацию, созданную транслятором. Тип объектного файла — o, файла листинга — lst.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Компоновка или линковка</w:t>
      </w:r>
      <w:r>
        <w:t xml:space="preserve"> </w:t>
      </w:r>
      <w:r>
        <w:t xml:space="preserve">— этап обработки объектного кода компоновщиком (ld), который принимает на вход объектные файлы и собирает по ним исполняемый файл. Исполняемый файл обычно не имеет расширения. Кроме того, можно получить файл карты загрузки программы в ОЗУ, имеющий расширение map.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Запуск программы.</w:t>
      </w:r>
      <w:r>
        <w:t xml:space="preserve"> </w:t>
      </w:r>
      <w:r>
        <w:t xml:space="preserve">Конечной целью является работоспособный исполняемый файл. Ошибки на предыдущих этапах могут привести к некорректной работе программы, поэтому может присутствовать этап отладки программы при помощи специальной программы — отладчика. При нахождении ошибки необходимо провести коррекцию программы, начиная с первого шага.</w:t>
      </w:r>
    </w:p>
    <w:bookmarkEnd w:id="24"/>
    <w:bookmarkEnd w:id="25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bookmarkStart w:id="29" w:name="fig:001"/>
      <w:r>
        <w:drawing>
          <wp:inline>
            <wp:extent cx="5334000" cy="3870493"/>
            <wp:effectExtent b="0" l="0" r="0" t="0"/>
            <wp:docPr descr="Рис. 1: Создадим и перейдем в каталог ~/work/arch-pc/lab05" title="" id="27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1: Создадим и перейдем в каталог ~/work/arch-pc/lab05</w:t>
      </w:r>
    </w:p>
    <w:p>
      <w:pPr>
        <w:pStyle w:val="CaptionedFigure"/>
      </w:pPr>
      <w:bookmarkStart w:id="33" w:name="fig:002"/>
      <w:r>
        <w:drawing>
          <wp:inline>
            <wp:extent cx="5334000" cy="3870493"/>
            <wp:effectExtent b="0" l="0" r="0" t="0"/>
            <wp:docPr descr="Рис. 2: Создадим текстовый файл с именем hello.asm" title="" id="31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2: Создадим текстовый файл с именем hello.asm</w:t>
      </w:r>
    </w:p>
    <w:p>
      <w:pPr>
        <w:pStyle w:val="CaptionedFigure"/>
      </w:pPr>
      <w:bookmarkStart w:id="37" w:name="fig:003"/>
      <w:r>
        <w:drawing>
          <wp:inline>
            <wp:extent cx="5334000" cy="3870493"/>
            <wp:effectExtent b="0" l="0" r="0" t="0"/>
            <wp:docPr descr="Рис. 3: Откроем этот файл с помощью текстового редактора" title="" id="35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3: Откроем этот файл с помощью текстового редактора</w:t>
      </w:r>
    </w:p>
    <w:p>
      <w:pPr>
        <w:pStyle w:val="CaptionedFigure"/>
      </w:pPr>
      <w:bookmarkStart w:id="41" w:name="fig:004"/>
      <w:r>
        <w:drawing>
          <wp:inline>
            <wp:extent cx="5334000" cy="3870493"/>
            <wp:effectExtent b="0" l="0" r="0" t="0"/>
            <wp:docPr descr="Рис. 4: Введем в него следуюзий текст:" title="" id="39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4: Введем в него следуюзий текст:</w:t>
      </w:r>
    </w:p>
    <w:p>
      <w:pPr>
        <w:pStyle w:val="CaptionedFigure"/>
      </w:pPr>
      <w:bookmarkStart w:id="45" w:name="fig:005"/>
      <w:r>
        <w:drawing>
          <wp:inline>
            <wp:extent cx="5334000" cy="3870493"/>
            <wp:effectExtent b="0" l="0" r="0" t="0"/>
            <wp:docPr descr="Рис. 5: Скомпилируем программу" title="" id="43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5: Скомпилируем программу</w:t>
      </w:r>
    </w:p>
    <w:p>
      <w:pPr>
        <w:pStyle w:val="CaptionedFigure"/>
      </w:pPr>
      <w:bookmarkStart w:id="49" w:name="fig:006"/>
      <w:r>
        <w:drawing>
          <wp:inline>
            <wp:extent cx="5334000" cy="3870493"/>
            <wp:effectExtent b="0" l="0" r="0" t="0"/>
            <wp:docPr descr="Рис. 6: Проверим компиляцию программы и создание файла с объектным кодом" title="" id="47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6: Проверим компиляцию программы и создание файла с объектным кодом</w:t>
      </w:r>
    </w:p>
    <w:p>
      <w:pPr>
        <w:pStyle w:val="CaptionedFigure"/>
      </w:pPr>
      <w:bookmarkStart w:id="53" w:name="fig:007"/>
      <w:r>
        <w:drawing>
          <wp:inline>
            <wp:extent cx="5334000" cy="3906059"/>
            <wp:effectExtent b="0" l="0" r="0" t="0"/>
            <wp:docPr descr="Рис. 7: Скомпилируем файл с присвоением имени, а также создадим файл листинга" title="" id="51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7: Скомпилируем файл с присвоением имени, а также создадим файл листинга</w:t>
      </w:r>
    </w:p>
    <w:p>
      <w:pPr>
        <w:pStyle w:val="CaptionedFigure"/>
      </w:pPr>
      <w:bookmarkStart w:id="57" w:name="fig:008"/>
      <w:r>
        <w:drawing>
          <wp:inline>
            <wp:extent cx="5334000" cy="3906059"/>
            <wp:effectExtent b="0" l="0" r="0" t="0"/>
            <wp:docPr descr="Рис. 8: Передадим объектный файл на обработку компоновщику" title="" id="55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8: Передадим объектный файл на обработку компоновщику</w:t>
      </w:r>
    </w:p>
    <w:p>
      <w:pPr>
        <w:pStyle w:val="CaptionedFigure"/>
      </w:pPr>
      <w:bookmarkStart w:id="61" w:name="fig:009"/>
      <w:r>
        <w:drawing>
          <wp:inline>
            <wp:extent cx="5334000" cy="3906059"/>
            <wp:effectExtent b="0" l="0" r="0" t="0"/>
            <wp:docPr descr="Рис. 9: Проверим создание исполняемого файла hello" title="" id="59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Проверим создание исполняемого файла hello</w:t>
      </w:r>
    </w:p>
    <w:p>
      <w:pPr>
        <w:pStyle w:val="CaptionedFigure"/>
      </w:pPr>
      <w:bookmarkStart w:id="65" w:name="fig:010"/>
      <w:r>
        <w:drawing>
          <wp:inline>
            <wp:extent cx="5334000" cy="3906059"/>
            <wp:effectExtent b="0" l="0" r="0" t="0"/>
            <wp:docPr descr="Рис. 10: Передадим файл компоновщику" title="" id="63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10: Передадим файл компоновщику</w:t>
      </w:r>
    </w:p>
    <w:p>
      <w:pPr>
        <w:pStyle w:val="BodyText"/>
      </w:pPr>
      <w:r>
        <w:t xml:space="preserve">В результате исполняемый файл имеет имя</w:t>
      </w:r>
      <w:r>
        <w:t xml:space="preserve"> </w:t>
      </w:r>
      <w:r>
        <w:rPr>
          <w:iCs/>
          <w:i/>
        </w:rPr>
        <w:t xml:space="preserve">main</w:t>
      </w:r>
      <w:r>
        <w:t xml:space="preserve">, а объектный файл, из которого собран этот исполняемый файл имеет имя</w:t>
      </w:r>
      <w:r>
        <w:t xml:space="preserve"> </w:t>
      </w:r>
      <w:r>
        <w:rPr>
          <w:iCs/>
          <w:i/>
        </w:rPr>
        <w:t xml:space="preserve">obj.o</w:t>
      </w:r>
      <w:r>
        <w:t xml:space="preserve">.</w:t>
      </w:r>
    </w:p>
    <w:p>
      <w:pPr>
        <w:pStyle w:val="CaptionedFigure"/>
      </w:pPr>
      <w:bookmarkStart w:id="69" w:name="fig:011"/>
      <w:r>
        <w:drawing>
          <wp:inline>
            <wp:extent cx="5334000" cy="3906059"/>
            <wp:effectExtent b="0" l="0" r="0" t="0"/>
            <wp:docPr descr="Рис. 11: Запустим исполняемый файл hello" title="" id="67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Запустим исполняемый файл hello</w:t>
      </w:r>
    </w:p>
    <w:p>
      <w:pPr>
        <w:pStyle w:val="CaptionedFigure"/>
      </w:pPr>
      <w:bookmarkStart w:id="73" w:name="fig:012"/>
      <w:r>
        <w:drawing>
          <wp:inline>
            <wp:extent cx="5334000" cy="3906059"/>
            <wp:effectExtent b="0" l="0" r="0" t="0"/>
            <wp:docPr descr="Рис. 12: Создадим компью файла hello.asm с именем lab5.asm" title="" id="71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Создадим компью файла hello.asm с именем lab5.asm</w:t>
      </w:r>
    </w:p>
    <w:p>
      <w:pPr>
        <w:pStyle w:val="CaptionedFigure"/>
      </w:pPr>
      <w:bookmarkStart w:id="77" w:name="fig:013"/>
      <w:r>
        <w:drawing>
          <wp:inline>
            <wp:extent cx="5334000" cy="3906059"/>
            <wp:effectExtent b="0" l="0" r="0" t="0"/>
            <wp:docPr descr="Рис. 13: С помощью текстового редактора внесем изменения в текст программы" title="" id="75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С помощью текстового редактора внесем изменения в текст программы</w:t>
      </w:r>
    </w:p>
    <w:p>
      <w:pPr>
        <w:pStyle w:val="CaptionedFigure"/>
      </w:pPr>
      <w:bookmarkStart w:id="81" w:name="fig:014"/>
      <w:r>
        <w:drawing>
          <wp:inline>
            <wp:extent cx="5334000" cy="3906059"/>
            <wp:effectExtent b="0" l="0" r="0" t="0"/>
            <wp:docPr descr="Рис. 14: Трансируем lab5.asm в объектный файл" title="" id="79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Трансируем lab5.asm в объектный файл</w:t>
      </w:r>
    </w:p>
    <w:p>
      <w:pPr>
        <w:pStyle w:val="CaptionedFigure"/>
      </w:pPr>
      <w:bookmarkStart w:id="85" w:name="fig:015"/>
      <w:r>
        <w:drawing>
          <wp:inline>
            <wp:extent cx="5334000" cy="3921833"/>
            <wp:effectExtent b="0" l="0" r="0" t="0"/>
            <wp:docPr descr="Рис. 15: Трансируем lab5.asm в объектный файл" title="" id="83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Трансируем lab5.asm в объектный файл</w:t>
      </w:r>
    </w:p>
    <w:p>
      <w:pPr>
        <w:pStyle w:val="CaptionedFigure"/>
      </w:pPr>
      <w:bookmarkStart w:id="89" w:name="fig:016"/>
      <w:r>
        <w:drawing>
          <wp:inline>
            <wp:extent cx="5334000" cy="3921833"/>
            <wp:effectExtent b="0" l="0" r="0" t="0"/>
            <wp:docPr descr="Рис. 16: Запустим исполняемый файл lab5" title="" id="87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Запустим исполняемый файл lab5</w:t>
      </w:r>
    </w:p>
    <w:p>
      <w:pPr>
        <w:pStyle w:val="CaptionedFigure"/>
      </w:pPr>
      <w:bookmarkStart w:id="93" w:name="fig:017"/>
      <w:r>
        <w:drawing>
          <wp:inline>
            <wp:extent cx="5334000" cy="3921833"/>
            <wp:effectExtent b="0" l="0" r="0" t="0"/>
            <wp:docPr descr="Рис. 17: Скопируем файлы hello.asm и lab5.asm в локальный репозиторий" title="" id="91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Скопируем файлы hello.asm и lab5.asm в локальный репозиторий</w:t>
      </w:r>
    </w:p>
    <w:p>
      <w:pPr>
        <w:pStyle w:val="CaptionedFigure"/>
      </w:pPr>
      <w:bookmarkStart w:id="97" w:name="fig:018"/>
      <w:r>
        <w:drawing>
          <wp:inline>
            <wp:extent cx="5334000" cy="3921833"/>
            <wp:effectExtent b="0" l="0" r="0" t="0"/>
            <wp:docPr descr="Рис. 18: Загрузим файлы на Github" title="" id="95" name="Picture"/>
            <a:graphic>
              <a:graphicData uri="http://schemas.openxmlformats.org/drawingml/2006/picture">
                <pic:pic>
                  <pic:nvPicPr>
                    <pic:cNvPr descr="/home/narogozhina/Изображения/Лабораторная%20работа%20№5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Загрузим файлы на Github</w:t>
      </w:r>
    </w:p>
    <w:bookmarkEnd w:id="98"/>
    <w:bookmarkStart w:id="99" w:name="вопросы-для-самопроверки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Вопросы для самопроверки</w:t>
      </w:r>
    </w:p>
    <w:p>
      <w:pPr>
        <w:numPr>
          <w:ilvl w:val="0"/>
          <w:numId w:val="1003"/>
        </w:numPr>
        <w:pStyle w:val="Compact"/>
      </w:pPr>
      <w:r>
        <w:t xml:space="preserve">Какие основные отличия ассемблерных программ от программ на языках высокого уровня?</w:t>
      </w:r>
    </w:p>
    <w:p>
      <w:pPr>
        <w:pStyle w:val="FirstParagraph"/>
      </w:pPr>
      <w:r>
        <w:t xml:space="preserve">Для того, чтобы писать программы на ассемблере, необходимо знать, какие регистры процессора существуеют и как их можно использовать, так как большинство команд в программах написанных на ассемблере используют регистры в качестве операндов.</w:t>
      </w:r>
    </w:p>
    <w:p>
      <w:pPr>
        <w:pStyle w:val="BodyText"/>
      </w:pPr>
      <w:r>
        <w:t xml:space="preserve">Грубо говоря, на ассемблере мы</w:t>
      </w:r>
      <w:r>
        <w:t xml:space="preserve"> </w:t>
      </w:r>
      <w:r>
        <w:t xml:space="preserve">“</w:t>
      </w:r>
      <w:r>
        <w:t xml:space="preserve">программируем непосредственно железо</w:t>
      </w:r>
      <w:r>
        <w:t xml:space="preserve">”</w:t>
      </w:r>
      <w:r>
        <w:t xml:space="preserve">, а на языках высокого уровня -</w:t>
      </w:r>
      <w:r>
        <w:t xml:space="preserve"> </w:t>
      </w:r>
      <w:r>
        <w:t xml:space="preserve">“</w:t>
      </w:r>
      <w:r>
        <w:t xml:space="preserve">программируем программы</w:t>
      </w:r>
      <w:r>
        <w:t xml:space="preserve">”</w:t>
      </w:r>
      <w:r>
        <w:t xml:space="preserve">. Программы, написанные на ассемблере, работают на самом низком уровне работы прикладной программы.</w:t>
      </w:r>
    </w:p>
    <w:p>
      <w:pPr>
        <w:numPr>
          <w:ilvl w:val="0"/>
          <w:numId w:val="1004"/>
        </w:numPr>
        <w:pStyle w:val="Compact"/>
      </w:pPr>
      <w:r>
        <w:t xml:space="preserve">В чем состоит отличие инструкции от директивы на языке ассемблера?</w:t>
      </w:r>
    </w:p>
    <w:p>
      <w:pPr>
        <w:pStyle w:val="FirstParagraph"/>
      </w:pPr>
      <w:r>
        <w:t xml:space="preserve">Директива - это инструкция, не переводящяяся непосредственно в машинные команды, а управляющие работой транслятора.</w:t>
      </w:r>
    </w:p>
    <w:p>
      <w:pPr>
        <w:numPr>
          <w:ilvl w:val="0"/>
          <w:numId w:val="1005"/>
        </w:numPr>
        <w:pStyle w:val="Compact"/>
      </w:pPr>
      <w:r>
        <w:t xml:space="preserve">Перечислите основные правила оформления программ на языке ассемблера.</w:t>
      </w:r>
    </w:p>
    <w:p>
      <w:pPr>
        <w:pStyle w:val="FirstParagraph"/>
      </w:pPr>
      <w:r>
        <w:t xml:space="preserve">Каждая программа располагается на отдельной строке. Размещение нескольких команд на одной строке недопустимо.</w:t>
      </w:r>
    </w:p>
    <w:p>
      <w:pPr>
        <w:pStyle w:val="BodyText"/>
      </w:pPr>
      <w:r>
        <w:t xml:space="preserve">Синтаксис ассемблера является</w:t>
      </w:r>
      <w:r>
        <w:t xml:space="preserve"> </w:t>
      </w:r>
      <w:r>
        <w:rPr>
          <w:iCs/>
          <w:i/>
        </w:rPr>
        <w:t xml:space="preserve">чувствительным к регистру</w:t>
      </w:r>
      <w:r>
        <w:t xml:space="preserve">.</w:t>
      </w:r>
    </w:p>
    <w:p>
      <w:pPr>
        <w:pStyle w:val="BodyText"/>
      </w:pPr>
      <w:r>
        <w:t xml:space="preserve">Машинная команда представляет собой одну строку, имеющщую синтаксический вид:</w:t>
      </w:r>
    </w:p>
    <w:p>
      <w:pPr>
        <w:pStyle w:val="BodyText"/>
      </w:pPr>
      <w:r>
        <w:rPr>
          <w:bCs/>
          <w:b/>
        </w:rPr>
        <w:t xml:space="preserve">метка</w:t>
      </w:r>
      <w:r>
        <w:t xml:space="preserve"> </w:t>
      </w:r>
      <w:r>
        <w:rPr>
          <w:iCs/>
          <w:i/>
        </w:rPr>
        <w:t xml:space="preserve">команда/директива</w:t>
      </w:r>
      <w:r>
        <w:t xml:space="preserve"> </w:t>
      </w:r>
      <w:r>
        <w:rPr>
          <w:bCs/>
          <w:b/>
        </w:rPr>
        <w:t xml:space="preserve">операнд(ы)</w:t>
      </w:r>
      <w:r>
        <w:t xml:space="preserve"> </w:t>
      </w:r>
      <w:r>
        <w:rPr>
          <w:iCs/>
          <w:i/>
        </w:rPr>
        <w:t xml:space="preserve">;комментарии</w:t>
      </w:r>
    </w:p>
    <w:p>
      <w:pPr>
        <w:numPr>
          <w:ilvl w:val="0"/>
          <w:numId w:val="1006"/>
        </w:numPr>
        <w:pStyle w:val="Compact"/>
      </w:pPr>
      <w:r>
        <w:t xml:space="preserve">Каковы этапы получения исполняемого файла?</w:t>
      </w:r>
    </w:p>
    <w:p>
      <w:pPr>
        <w:pStyle w:val="FirstParagraph"/>
      </w:pPr>
      <w:r>
        <w:t xml:space="preserve">Трансляция, компоновка.</w:t>
      </w:r>
    </w:p>
    <w:p>
      <w:pPr>
        <w:numPr>
          <w:ilvl w:val="0"/>
          <w:numId w:val="1007"/>
        </w:numPr>
        <w:pStyle w:val="Compact"/>
      </w:pPr>
      <w:r>
        <w:t xml:space="preserve">Каково назначение этапа трансляции?</w:t>
      </w:r>
    </w:p>
    <w:p>
      <w:pPr>
        <w:pStyle w:val="FirstParagraph"/>
      </w:pPr>
      <w:r>
        <w:t xml:space="preserve">При наличии ошибок в тексте программы объектный файл, который создаётся на этапе трансляции, создан не будет, а после запуска транслятора появятся сообщения об ошибках или предупреждения.</w:t>
      </w:r>
    </w:p>
    <w:p>
      <w:pPr>
        <w:numPr>
          <w:ilvl w:val="0"/>
          <w:numId w:val="1008"/>
        </w:numPr>
        <w:pStyle w:val="Compact"/>
      </w:pPr>
      <w:r>
        <w:t xml:space="preserve">Каково назначение этапа компоновки?</w:t>
      </w:r>
    </w:p>
    <w:p>
      <w:pPr>
        <w:pStyle w:val="FirstParagraph"/>
      </w:pPr>
      <w:r>
        <w:t xml:space="preserve">Компоновщик преобразует объектный файл в исполняемый.</w:t>
      </w:r>
    </w:p>
    <w:p>
      <w:pPr>
        <w:numPr>
          <w:ilvl w:val="0"/>
          <w:numId w:val="1009"/>
        </w:numPr>
        <w:pStyle w:val="Compact"/>
      </w:pPr>
      <w:r>
        <w:t xml:space="preserve">Какие файлы могут создаваться при трансляции программы, какие из них создаются по умолчанию?</w:t>
      </w:r>
    </w:p>
    <w:p>
      <w:pPr>
        <w:pStyle w:val="FirstParagraph"/>
      </w:pPr>
      <w:r>
        <w:t xml:space="preserve">В результате трансляции образуется объектный файл с расширением .o. Также в работе мы создавали файл листинга list.lst.</w:t>
      </w:r>
    </w:p>
    <w:p>
      <w:pPr>
        <w:numPr>
          <w:ilvl w:val="0"/>
          <w:numId w:val="1010"/>
        </w:numPr>
        <w:pStyle w:val="Compact"/>
      </w:pPr>
      <w:r>
        <w:t xml:space="preserve">Каковы форматы файлов для nasm и ld?</w:t>
      </w:r>
    </w:p>
    <w:p>
      <w:pPr>
        <w:pStyle w:val="FirstParagraph"/>
      </w:pPr>
      <w:r>
        <w:t xml:space="preserve">Для nasm формат файлов -</w:t>
      </w:r>
      <w:r>
        <w:t xml:space="preserve"> </w:t>
      </w:r>
      <w:r>
        <w:rPr>
          <w:bCs/>
          <w:b/>
        </w:rPr>
        <w:t xml:space="preserve">.asm</w:t>
      </w:r>
      <w:r>
        <w:t xml:space="preserve">, который после превращается в объектный файл с расширением -</w:t>
      </w:r>
      <w:r>
        <w:t xml:space="preserve"> </w:t>
      </w:r>
      <w:r>
        <w:rPr>
          <w:bCs/>
          <w:b/>
        </w:rPr>
        <w:t xml:space="preserve">.o</w:t>
      </w:r>
    </w:p>
    <w:p>
      <w:pPr>
        <w:pStyle w:val="BodyText"/>
      </w:pPr>
      <w:r>
        <w:t xml:space="preserve">Для ld формат обрабатываемого файла -</w:t>
      </w:r>
      <w:r>
        <w:t xml:space="preserve"> </w:t>
      </w:r>
      <w:r>
        <w:rPr>
          <w:bCs/>
          <w:b/>
        </w:rPr>
        <w:t xml:space="preserve">.o</w:t>
      </w:r>
      <w:r>
        <w:t xml:space="preserve">, после компоновки файл преобразуется в исполняемый</w:t>
      </w:r>
    </w:p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мы изучение языка Assembler, освоение процедуры компиляции и сборки программ, написанных на ассемблере NASM.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Рогожина Надежда Александровна</dc:creator>
  <dc:language>ru-RU</dc:language>
  <cp:keywords/>
  <dcterms:created xsi:type="dcterms:W3CDTF">2022-11-10T12:42:46Z</dcterms:created>
  <dcterms:modified xsi:type="dcterms:W3CDTF">2022-11-10T12:42:46Z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IndexTemplate">
    <vt:lpwstr>(i)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\qquad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Архитектура компьютера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