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27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Oзнакомиться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bookmarkStart w:id="22" w:name="основные-термины-emac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термины Emacs</w:t>
      </w:r>
    </w:p>
    <w:p>
      <w:pPr>
        <w:pStyle w:val="FirstParagraph"/>
      </w:pPr>
      <w:r>
        <w:rPr>
          <w:bCs/>
          <w:b/>
        </w:rPr>
        <w:t xml:space="preserve">Определение 1.</w:t>
      </w:r>
      <w:r>
        <w:t xml:space="preserve"> </w:t>
      </w:r>
      <w:r>
        <w:t xml:space="preserve">Буфер — объект, представляющий какой-либо текст.</w:t>
      </w:r>
    </w:p>
    <w:p>
      <w:pPr>
        <w:pStyle w:val="BodyText"/>
      </w:pPr>
      <w:r>
        <w:t xml:space="preserve">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</w:p>
    <w:p>
      <w:pPr>
        <w:pStyle w:val="BodyText"/>
      </w:pPr>
      <w:r>
        <w:rPr>
          <w:bCs/>
          <w:b/>
        </w:rPr>
        <w:t xml:space="preserve">Определение 2.</w:t>
      </w:r>
      <w:r>
        <w:t xml:space="preserve"> </w:t>
      </w:r>
      <w:r>
        <w:t xml:space="preserve">Фрейм соответствует окну в обычном понимании этого слова. Каждый фрейм содержит область вывода и одно или несколько окон Emacs.</w:t>
      </w:r>
    </w:p>
    <w:p>
      <w:pPr>
        <w:pStyle w:val="BodyText"/>
      </w:pPr>
      <w:r>
        <w:rPr>
          <w:bCs/>
          <w:b/>
        </w:rPr>
        <w:t xml:space="preserve">Определение 3.</w:t>
      </w:r>
      <w:r>
        <w:t xml:space="preserve"> </w:t>
      </w:r>
      <w:r>
        <w:t xml:space="preserve">Окно — прямоугольная область фрейма, отображающая один из буферов. 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</w:t>
      </w:r>
      <w:r>
        <w:t xml:space="preserve"> </w:t>
      </w:r>
      <w:r>
        <w:t xml:space="preserve">Существующие основные режимы включают режим Fundamental (наименее специализированный), режим Text, режим Lisp, режим С, режим Texinfo и другие. Под второстепенными режимами понимается список режимов, которые включены в данный момент в буфере выбранного окна.</w:t>
      </w:r>
    </w:p>
    <w:p>
      <w:pPr>
        <w:pStyle w:val="BodyText"/>
      </w:pPr>
      <w:r>
        <w:rPr>
          <w:bCs/>
          <w:b/>
        </w:rPr>
        <w:t xml:space="preserve">Определение 4.</w:t>
      </w:r>
      <w:r>
        <w:t xml:space="preserve"> </w:t>
      </w:r>
      <w:r>
        <w:t xml:space="preserve">Область вывода — одна или несколько строк внизу фрейма, в которой Emacs выводит различные сообщения, а также запрашивает подтверждения и дополнительную информацию от пользователя.</w:t>
      </w:r>
    </w:p>
    <w:p>
      <w:pPr>
        <w:pStyle w:val="BodyText"/>
      </w:pPr>
      <w:r>
        <w:rPr>
          <w:bCs/>
          <w:b/>
        </w:rPr>
        <w:t xml:space="preserve">Определение 5.</w:t>
      </w:r>
      <w:r>
        <w:t xml:space="preserve"> </w:t>
      </w:r>
      <w:r>
        <w:t xml:space="preserve">Минибуфер 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rPr>
          <w:bCs/>
          <w:b/>
        </w:rPr>
        <w:t xml:space="preserve">Определение 6.</w:t>
      </w:r>
      <w:r>
        <w:t xml:space="preserve"> </w:t>
      </w:r>
      <w:r>
        <w:t xml:space="preserve">Точка вставки — место вставки (удаления) данных в буфере</w:t>
      </w:r>
    </w:p>
    <w:bookmarkEnd w:id="22"/>
    <w:bookmarkStart w:id="23" w:name="основы-работы-в-emac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Основы работы в Emacs</w:t>
      </w:r>
    </w:p>
    <w:p>
      <w:pPr>
        <w:pStyle w:val="FirstParagraph"/>
      </w:pPr>
      <w:r>
        <w:t xml:space="preserve">Для запуска Emacs необходимо в командной строке набрать emacs (или emacs &amp; для работы в фоновом режиме относительно консоли). Для работы с Emacs можно использовать как элементы меню, так и различные сочетания клавиш. Например, для выхода из Emacs можно воспользоваться меню File и выбрать пункт Quit , а можно нажать последовательно Ctrl-x Ctrl-c (в обозначениях Emacs: C-x C-c).</w:t>
      </w:r>
    </w:p>
    <w:p>
      <w:pPr>
        <w:pStyle w:val="BodyText"/>
      </w:pPr>
      <w:r>
        <w:t xml:space="preserve">Многие рутинные операции в Emacs удобнее производить с помощью клавиатуры, а не графического меню. Наиболее часто в командах Emacs используются сочетания c клавишами Ctrl и Meta (в обозначениях Emacs: C- и M-; клавиша Shift в Emasc обозначается как S-). Так как на клавиатуре для IBM PC совместимых ПК клавиши Meta нет, то вместо неё можно использовать Alt или Esc . Для доступа к системе меню используйте клавишу F10.</w:t>
      </w:r>
    </w:p>
    <w:p>
      <w:pPr>
        <w:pStyle w:val="BodyText"/>
      </w:pPr>
      <w:r>
        <w:t xml:space="preserve">Клавиши Ctrl , Meta и Shift принято называть префиксными. Например, запись M-x означает, что надо удерживая клавишу Meta (или Alt ), нажать на клавишу x. Для открытия файла следует использовать команду C-x C-f (надо, удерживая клавишу Ctrl , нажать на клавишу x , затем отпустить обе клавиши и снова, удерживая клавишу Ctrl , нажать на</w:t>
      </w:r>
      <w:r>
        <w:t xml:space="preserve"> </w:t>
      </w:r>
      <w:r>
        <w:t xml:space="preserve">клавишу f ).</w:t>
      </w:r>
    </w:p>
    <w:p>
      <w:pPr>
        <w:pStyle w:val="BodyText"/>
      </w:pPr>
      <w:r>
        <w:t xml:space="preserve">По назначению префиксные сочетания клавиш различаются следующим образом:</w:t>
      </w:r>
      <w:r>
        <w:t xml:space="preserve"> </w:t>
      </w:r>
      <w:r>
        <w:t xml:space="preserve">- C-x — префикс ввода основных команд редактора (например, открытия, закрытии, сохранения файла и т.д.);</w:t>
      </w:r>
      <w:r>
        <w:t xml:space="preserve"> </w:t>
      </w:r>
      <w:r>
        <w:t xml:space="preserve">- C-c — префикс вызова функций, зависящих от используемого режима.</w:t>
      </w:r>
    </w:p>
    <w:p>
      <w:pPr>
        <w:pStyle w:val="BodyText"/>
      </w:pPr>
      <w:r>
        <w:rPr>
          <w:bCs/>
          <w:b/>
        </w:rPr>
        <w:t xml:space="preserve">Определение 7.</w:t>
      </w:r>
      <w:r>
        <w:t xml:space="preserve"> </w:t>
      </w:r>
      <w:r>
        <w:t xml:space="preserve">Режим — пакет расширений, изменяющий поведение буфера Emacs при редактировании и просмотре текста (например, для редактирования исходного текста программ на языках С или Perl).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приведены основные комбинации клавиш, используемые для перемещения</w:t>
      </w:r>
      <w:r>
        <w:t xml:space="preserve"> </w:t>
      </w:r>
      <w:r>
        <w:t xml:space="preserve">курсора в буфере Emacs.</w:t>
      </w:r>
    </w:p>
    <w:bookmarkStart w:id="0" w:name="tbl:std-dir"/>
    <w:p>
      <w:pPr>
        <w:pStyle w:val="TableCaption"/>
      </w:pPr>
      <w:r>
        <w:t xml:space="preserve">Table 1: Основные комбинации клавиш для перемещения курсора в буфере Emacs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 1: Основные комбинации клавиш для перемещения курсора в буфере Emacs 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вверх на одну строку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вниз на одну строку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вперёд на один символ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назад на один символ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начало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конец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вниз на одну страницу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M-v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вверх на одну страницу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M-f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вперёд на одно слово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M-b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назад на одно слово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M-&lt;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начало буфера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M-&gt;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конец буфера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закончить текущую операцию</w:t>
            </w:r>
          </w:p>
        </w:tc>
      </w:tr>
    </w:tbl>
    <w:bookmarkEnd w:id="0"/>
    <w:bookmarkEnd w:id="23"/>
    <w:bookmarkEnd w:id="24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Открыть emacs(рис.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4279900" cy="889000"/>
            <wp:effectExtent b="0" l="0" r="0" t="0"/>
            <wp:docPr descr="Figure 1: Открытие emacs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Открытие emacs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Создать файл lab07.sh с помощью комбинации Ctrl-x Ctrl-f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279900" cy="889000"/>
            <wp:effectExtent b="0" l="0" r="0" t="0"/>
            <wp:docPr descr="Figure 2: Созда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Создание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Наберите текст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0" w:name="fig:003"/>
      <w:r>
        <w:drawing>
          <wp:inline>
            <wp:extent cx="3454400" cy="4051300"/>
            <wp:effectExtent b="0" l="0" r="0" t="0"/>
            <wp:docPr descr="Figure 3: Текст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3: Текст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Cохранить файл с помощью комбинации Ctrl-x Ctrl-s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2" w:name="fig:004"/>
      <w:r>
        <w:drawing>
          <wp:inline>
            <wp:extent cx="5334000" cy="5672070"/>
            <wp:effectExtent b="0" l="0" r="0" t="0"/>
            <wp:docPr descr="Figure 4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4: Сохранение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7"/>
        </w:numPr>
        <w:pStyle w:val="Compact"/>
      </w:pPr>
      <w:r>
        <w:t xml:space="preserve">Вырезать одной командой целую строку (С-k):</w:t>
      </w:r>
    </w:p>
    <w:p>
      <w:pPr>
        <w:pStyle w:val="FirstParagraph"/>
      </w:pPr>
      <w:r>
        <w:t xml:space="preserve">Для начала выделим строку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4" w:name="fig:005"/>
      <w:r>
        <w:drawing>
          <wp:inline>
            <wp:extent cx="4102100" cy="2082800"/>
            <wp:effectExtent b="0" l="0" r="0" t="0"/>
            <wp:docPr descr="Figure 5: Выдел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5: Выделение</w:t>
      </w:r>
    </w:p>
    <w:bookmarkEnd w:id="0"/>
    <w:p>
      <w:pPr>
        <w:pStyle w:val="BodyText"/>
      </w:pPr>
      <w:r>
        <w:t xml:space="preserve">А после этого уже удалим комбинацией клавиш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6" w:name="fig:006"/>
      <w:r>
        <w:drawing>
          <wp:inline>
            <wp:extent cx="4102100" cy="2082800"/>
            <wp:effectExtent b="0" l="0" r="0" t="0"/>
            <wp:docPr descr="Figure 6: Удал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6: Удаление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Вставить эту строку в конец файла (C-y)(рис.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8" w:name="fig:007"/>
      <w:r>
        <w:drawing>
          <wp:inline>
            <wp:extent cx="3810000" cy="2971800"/>
            <wp:effectExtent b="0" l="0" r="0" t="0"/>
            <wp:docPr descr="Figure 7: Встав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7: Вставка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Выделить область текста (C-space)(рис.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40" w:name="fig:008"/>
      <w:r>
        <w:drawing>
          <wp:inline>
            <wp:extent cx="5334000" cy="5859481"/>
            <wp:effectExtent b="0" l="0" r="0" t="0"/>
            <wp:docPr descr="Figure 8: Выдел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8: Выделение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Вставить область в конец файла(рис.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2" w:name="fig:009"/>
      <w:r>
        <w:drawing>
          <wp:inline>
            <wp:extent cx="5334000" cy="5859481"/>
            <wp:effectExtent b="0" l="0" r="0" t="0"/>
            <wp:docPr descr="Figure 9: Встав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9: Вставка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Вновь выделить эту область и на этот раз вырезать её (C-w)(рис.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4" w:name="fig:010"/>
      <w:r>
        <w:drawing>
          <wp:inline>
            <wp:extent cx="5334000" cy="5859481"/>
            <wp:effectExtent b="0" l="0" r="0" t="0"/>
            <wp:docPr descr="Figure 10: Выдел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10: Выделение</w:t>
      </w:r>
    </w:p>
    <w:bookmarkEnd w:id="0"/>
    <w:bookmarkStart w:id="0" w:name="fig:011"/>
    <w:p>
      <w:pPr>
        <w:pStyle w:val="CaptionedFigure"/>
      </w:pPr>
      <w:bookmarkStart w:id="46" w:name="fig:011"/>
      <w:r>
        <w:drawing>
          <wp:inline>
            <wp:extent cx="5334000" cy="5859481"/>
            <wp:effectExtent b="0" l="0" r="0" t="0"/>
            <wp:docPr descr="Figure 11: Удал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11: Удаление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Отмените последнее действие (C-/)(рис.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8" w:name="fig:012"/>
      <w:r>
        <w:drawing>
          <wp:inline>
            <wp:extent cx="5334000" cy="5859481"/>
            <wp:effectExtent b="0" l="0" r="0" t="0"/>
            <wp:docPr descr="Figure 12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12: Отмена последнего действия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14"/>
        </w:numPr>
        <w:pStyle w:val="Compact"/>
      </w:pPr>
      <w:r>
        <w:t xml:space="preserve">Переместите курсор в начало строки (C-a):</w:t>
      </w:r>
    </w:p>
    <w:p>
      <w:pPr>
        <w:pStyle w:val="FirstParagraph"/>
      </w:pPr>
      <w:r>
        <w:t xml:space="preserve">Курсор в середине строки(рис.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50" w:name="fig:013"/>
      <w:r>
        <w:drawing>
          <wp:inline>
            <wp:extent cx="3606800" cy="2590800"/>
            <wp:effectExtent b="0" l="0" r="0" t="0"/>
            <wp:docPr descr="Figure 13: Курсор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Курсор</w:t>
      </w:r>
    </w:p>
    <w:bookmarkEnd w:id="0"/>
    <w:p>
      <w:pPr>
        <w:pStyle w:val="BodyText"/>
      </w:pPr>
      <w:r>
        <w:t xml:space="preserve">Курсон в начале строки(рис.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2" w:name="fig:014"/>
      <w:r>
        <w:drawing>
          <wp:inline>
            <wp:extent cx="3606800" cy="2590800"/>
            <wp:effectExtent b="0" l="0" r="0" t="0"/>
            <wp:docPr descr="Figure 14: Курсор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Курсор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Переместите курсор в конец строки (C-e)(рис.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4" w:name="fig:015"/>
      <w:r>
        <w:drawing>
          <wp:inline>
            <wp:extent cx="3606800" cy="2590800"/>
            <wp:effectExtent b="0" l="0" r="0" t="0"/>
            <wp:docPr descr="Figure 15: Конец строки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15: Конец строки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Переместите курсор в начало буфера (M-&lt;)(рис.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6" w:name="fig:016"/>
      <w:r>
        <w:drawing>
          <wp:inline>
            <wp:extent cx="3606800" cy="2590800"/>
            <wp:effectExtent b="0" l="0" r="0" t="0"/>
            <wp:docPr descr="Figure 16: Начало буфер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Начало буфера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Переместите курсор в конец буфера (M-&gt;)(рис.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8" w:name="fig:017"/>
      <w:r>
        <w:drawing>
          <wp:inline>
            <wp:extent cx="3606800" cy="2590800"/>
            <wp:effectExtent b="0" l="0" r="0" t="0"/>
            <wp:docPr descr="Figure 17: Конец буфер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17: Конец буфера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19"/>
        </w:numPr>
        <w:pStyle w:val="Compact"/>
      </w:pPr>
      <w:r>
        <w:t xml:space="preserve">Вывести список активных буферов на экран (C-x C-b)(рис.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60" w:name="fig:018"/>
      <w:r>
        <w:drawing>
          <wp:inline>
            <wp:extent cx="5334000" cy="5812692"/>
            <wp:effectExtent b="0" l="0" r="0" t="0"/>
            <wp:docPr descr="Figure 18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18: Список активных буферов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Переместитесь во вновь открытое окно (C-x) o со списком открытых буферов и переключитесь на другой буфер(рис.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2" w:name="fig:019"/>
      <w:r>
        <w:drawing>
          <wp:inline>
            <wp:extent cx="5334000" cy="5812692"/>
            <wp:effectExtent b="0" l="0" r="0" t="0"/>
            <wp:docPr descr="Figure 19: Перемещение и переключ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19: Перемещение и переключение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Закройте это окно (C-x 0)(рис.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4" w:name="fig:020"/>
      <w:r>
        <w:drawing>
          <wp:inline>
            <wp:extent cx="5334000" cy="5812692"/>
            <wp:effectExtent b="0" l="0" r="0" t="0"/>
            <wp:docPr descr="Figure 20: Закрытие окн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20: Закрытие окна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Теперь вновь переключайтесь между буферами, но уже без вывода их списка на экран (C-x b)(рис.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6" w:name="fig:021"/>
      <w:r>
        <w:drawing>
          <wp:inline>
            <wp:extent cx="5334000" cy="5812692"/>
            <wp:effectExtent b="0" l="0" r="0" t="0"/>
            <wp:docPr descr="Figure 21: Переключ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21: Переключение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24"/>
        </w:numPr>
        <w:pStyle w:val="Compact"/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 (C-x 2)(рис.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8" w:name="fig:022"/>
      <w:r>
        <w:drawing>
          <wp:inline>
            <wp:extent cx="5334000" cy="5812692"/>
            <wp:effectExtent b="0" l="0" r="0" t="0"/>
            <wp:docPr descr="Figure 22: Деление фрейм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22: Деление фрейма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70" w:name="fig:023"/>
      <w:r>
        <w:drawing>
          <wp:inline>
            <wp:extent cx="5334000" cy="5812692"/>
            <wp:effectExtent b="0" l="0" r="0" t="0"/>
            <wp:docPr descr="Figure 23: Текст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23: Текст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Режим поиска</w:t>
      </w:r>
    </w:p>
    <w:p>
      <w:pPr>
        <w:numPr>
          <w:ilvl w:val="0"/>
          <w:numId w:val="1027"/>
        </w:numPr>
        <w:pStyle w:val="Compact"/>
      </w:pPr>
      <w:r>
        <w:t xml:space="preserve">Переключитесь в режим поиска (C-s) и найдите несколько слов, присутствующих в тексте(рис.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2" w:name="fig:024"/>
      <w:r>
        <w:drawing>
          <wp:inline>
            <wp:extent cx="5334000" cy="5812692"/>
            <wp:effectExtent b="0" l="0" r="0" t="0"/>
            <wp:docPr descr="Figure 24: Поиск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24: Поиск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Переключайтесь между результатами поиска, нажимая C-s(рис.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,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4" w:name="fig:025"/>
      <w:r>
        <w:drawing>
          <wp:inline>
            <wp:extent cx="5334000" cy="5812692"/>
            <wp:effectExtent b="0" l="0" r="0" t="0"/>
            <wp:docPr descr="Figure 25: Поиск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25: Поиск</w:t>
      </w:r>
    </w:p>
    <w:bookmarkEnd w:id="0"/>
    <w:bookmarkStart w:id="0" w:name="fig:026"/>
    <w:p>
      <w:pPr>
        <w:pStyle w:val="CaptionedFigure"/>
      </w:pPr>
      <w:bookmarkStart w:id="76" w:name="fig:026"/>
      <w:r>
        <w:drawing>
          <wp:inline>
            <wp:extent cx="5334000" cy="5812692"/>
            <wp:effectExtent b="0" l="0" r="0" t="0"/>
            <wp:docPr descr="Figure 26: Поиск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26: Поиск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Выйдите из режима поиска, нажав C-g(рис.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78" w:name="fig:027"/>
      <w:r>
        <w:drawing>
          <wp:inline>
            <wp:extent cx="5334000" cy="5812692"/>
            <wp:effectExtent b="0" l="0" r="0" t="0"/>
            <wp:docPr descr="Figure 27: Поиск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27: Поиск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Испробуйте другой режим поиска, нажав M-s o(рис.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80" w:name="fig:028"/>
      <w:r>
        <w:drawing>
          <wp:inline>
            <wp:extent cx="5334000" cy="5812692"/>
            <wp:effectExtent b="0" l="0" r="0" t="0"/>
            <wp:docPr descr="Figure 28: Поиск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9/report/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28: Поиск</w:t>
      </w:r>
    </w:p>
    <w:bookmarkEnd w:id="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приобрели практические навыки работы с текстовым редактором emacs.</w:t>
      </w:r>
    </w:p>
    <w:bookmarkEnd w:id="82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31"/>
        </w:numPr>
        <w:pStyle w:val="Compact"/>
      </w:pPr>
      <w:hyperlink r:id="rId83">
        <w:r>
          <w:rPr>
            <w:rStyle w:val="Hyperlink"/>
          </w:rPr>
          <w:t xml:space="preserve">Руководство по выполнению лабораторной работы №9</w:t>
        </w:r>
      </w:hyperlink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1"/>
  </w:num>
  <w:num w:numId="1025">
    <w:abstractNumId w:val="991"/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7" Target="media/rId27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83" Target="https://esystem.rudn.ru/pluginfile.php/1975777/mod_resource/content/5/009-lab_ema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3" Target="https://esystem.rudn.ru/pluginfile.php/1975777/mod_resource/content/5/009-lab_ema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Надежда Александровна Рогожина</dc:creator>
  <dc:language>ru-RU</dc:language>
  <cp:keywords/>
  <dcterms:created xsi:type="dcterms:W3CDTF">2023-04-08T14:08:27Z</dcterms:created>
  <dcterms:modified xsi:type="dcterms:W3CDTF">2023-04-08T14:08:27Z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