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Надежда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Рогожина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начальные практические навыки работы с</w:t>
      </w:r>
      <w:r>
        <w:t xml:space="preserve"> </w:t>
      </w:r>
      <w:r>
        <w:rPr>
          <w:rStyle w:val="VerbatimChar"/>
        </w:rPr>
        <w:t xml:space="preserve">nikto</w:t>
      </w:r>
      <w:r>
        <w:t xml:space="preserve">.</w:t>
      </w:r>
    </w:p>
    <w:bookmarkEnd w:id="20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rStyle w:val="VerbatimChar"/>
        </w:rPr>
        <w:t xml:space="preserve">nikto</w:t>
      </w:r>
      <w:r>
        <w:t xml:space="preserve"> </w:t>
      </w:r>
      <w:r>
        <w:t xml:space="preserve">— базовый сканер безопасности веб-сервера. Он сканирует и обнаруживает уязвимости в веб-приложениях, обычно вызванные неправильной конфигурацией на самом сервере, файлами, установленными по умолчанию, и небезопасными файлами, а также устаревшими серверными приложениями. Утилита относиться к классу blackbox сканеров, т. е. сканеров, использующих стратегию сканирования методом черного ящика. Это значит, что заранее неизвестно о внутреннем устройстве программы/сайта (доступ к исходному коду отсутствует) и упор сделан на функциональность. Программа может обнаруживать более 6700 потенциально опасных файлов и уязвимостей. Новые уязвимости добавляются в базу данных программы по мере их возникновения. Помимо поиска уязвимостей, сканер производит поиск на наличие устаревших версий, используемых библиотек и фреймворков. Nikto не позиционируется как стелс сканер (стелс сканеры никогда не устанавливают TCP-соединения до конца, тем самым сканирование происходит скрытно) – при сканировании сайта в логах сайта или в любой другой системе обнаружения вторжений, если она используется, будет отображена информация о том, что сайт подвергается сканированию.</w:t>
      </w:r>
    </w:p>
    <w:p>
      <w:pPr>
        <w:pStyle w:val="BodyText"/>
      </w:pPr>
      <w:r>
        <w:t xml:space="preserve">Минимальный синттаксис для запуска сканирования выглядит следующим образом:</w:t>
      </w:r>
    </w:p>
    <w:p>
      <w:pPr>
        <w:pStyle w:val="SourceCode"/>
      </w:pPr>
      <w:r>
        <w:rPr>
          <w:rStyle w:val="VerbatimChar"/>
        </w:rPr>
        <w:t xml:space="preserve">nikto -h [доменное_имя или IP_адрес]</w:t>
      </w:r>
    </w:p>
    <w:p>
      <w:pPr>
        <w:pStyle w:val="FirstParagraph"/>
      </w:pPr>
      <w:r>
        <w:t xml:space="preserve">Более подробно можно почитать в</w:t>
      </w:r>
      <w:r>
        <w:t xml:space="preserve"> </w:t>
      </w:r>
      <w:hyperlink r:id="rId21">
        <w:r>
          <w:rPr>
            <w:rStyle w:val="Hyperlink"/>
          </w:rPr>
          <w:t xml:space="preserve">тут</w:t>
        </w:r>
      </w:hyperlink>
      <w:r>
        <w:t xml:space="preserve"> </w:t>
      </w:r>
      <w:r>
        <w:t xml:space="preserve">и</w:t>
      </w:r>
      <w:r>
        <w:t xml:space="preserve"> </w:t>
      </w:r>
      <w:hyperlink r:id="rId22">
        <w:r>
          <w:rPr>
            <w:rStyle w:val="Hyperlink"/>
          </w:rPr>
          <w:t xml:space="preserve">тут</w:t>
        </w:r>
      </w:hyperlink>
      <w:r>
        <w:t xml:space="preserve">.</w:t>
      </w:r>
    </w:p>
    <w:bookmarkEnd w:id="23"/>
    <w:bookmarkStart w:id="42" w:name="выполн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</w:t>
      </w:r>
    </w:p>
    <w:p>
      <w:pPr>
        <w:numPr>
          <w:ilvl w:val="0"/>
          <w:numId w:val="1001"/>
        </w:numPr>
        <w:pStyle w:val="Compact"/>
      </w:pPr>
      <w:r>
        <w:t xml:space="preserve">От имени суперпользователя установим необходимую программу (рис. [??]):</w:t>
      </w:r>
    </w:p>
    <w:p>
      <w:pPr>
        <w:pStyle w:val="CaptionedFigure"/>
      </w:pPr>
      <w:r>
        <w:drawing>
          <wp:inline>
            <wp:extent cx="3733800" cy="1373810"/>
            <wp:effectExtent b="0" l="0" r="0" t="0"/>
            <wp:docPr descr="Установка nikto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nikto</w:t>
      </w:r>
    </w:p>
    <w:p>
      <w:pPr>
        <w:numPr>
          <w:ilvl w:val="0"/>
          <w:numId w:val="1002"/>
        </w:numPr>
        <w:pStyle w:val="Compact"/>
      </w:pPr>
      <w:r>
        <w:t xml:space="preserve">Изучим справку по команде (рис. [??]):</w:t>
      </w:r>
    </w:p>
    <w:p>
      <w:pPr>
        <w:pStyle w:val="CaptionedFigure"/>
      </w:pPr>
      <w:r>
        <w:drawing>
          <wp:inline>
            <wp:extent cx="3733800" cy="2722338"/>
            <wp:effectExtent b="0" l="0" r="0" t="0"/>
            <wp:docPr descr="nikto -h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nikto -h</w:t>
      </w:r>
    </w:p>
    <w:p>
      <w:pPr>
        <w:numPr>
          <w:ilvl w:val="0"/>
          <w:numId w:val="1003"/>
        </w:numPr>
        <w:pStyle w:val="Compact"/>
      </w:pPr>
      <w:r>
        <w:t xml:space="preserve">Протестируем сайт ТУИС (рис. [??]):</w:t>
      </w:r>
    </w:p>
    <w:p>
      <w:pPr>
        <w:pStyle w:val="CaptionedFigure"/>
      </w:pPr>
      <w:r>
        <w:drawing>
          <wp:inline>
            <wp:extent cx="3733800" cy="1209365"/>
            <wp:effectExtent b="0" l="0" r="0" t="0"/>
            <wp:docPr descr="nikto -h eystem.rudn.ru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nikto -h eystem.rudn.ru</w:t>
      </w:r>
    </w:p>
    <w:p>
      <w:pPr>
        <w:numPr>
          <w:ilvl w:val="0"/>
          <w:numId w:val="1004"/>
        </w:numPr>
        <w:pStyle w:val="Compact"/>
      </w:pPr>
      <w:r>
        <w:t xml:space="preserve">Протестируем сайт московской школы №1366 (рис. [??], рис. [??], рис. [??]):</w:t>
      </w:r>
    </w:p>
    <w:p>
      <w:pPr>
        <w:pStyle w:val="CaptionedFigure"/>
      </w:pPr>
      <w:r>
        <w:drawing>
          <wp:inline>
            <wp:extent cx="3733800" cy="2551481"/>
            <wp:effectExtent b="0" l="0" r="0" t="0"/>
            <wp:docPr descr="nikto -h school1366.ru" title="fig: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nikto -h school1366.ru</w:t>
      </w:r>
    </w:p>
    <w:p>
      <w:pPr>
        <w:pStyle w:val="CaptionedFigure"/>
      </w:pPr>
      <w:r>
        <w:drawing>
          <wp:inline>
            <wp:extent cx="3733800" cy="2548171"/>
            <wp:effectExtent b="0" l="0" r="0" t="0"/>
            <wp:docPr descr="nikto -h school1366.ru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nikto -h school1366.ru</w:t>
      </w:r>
    </w:p>
    <w:p>
      <w:pPr>
        <w:pStyle w:val="CaptionedFigure"/>
      </w:pPr>
      <w:r>
        <w:drawing>
          <wp:inline>
            <wp:extent cx="3733800" cy="2486142"/>
            <wp:effectExtent b="0" l="0" r="0" t="0"/>
            <wp:docPr descr="nikto -h school1366.ru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nikto -h school1366.ru</w:t>
      </w:r>
    </w:p>
    <w:bookmarkEnd w:id="42"/>
    <w:bookmarkStart w:id="44" w:name="список-литературы"/>
    <w:p>
      <w:pPr>
        <w:pStyle w:val="Heading1"/>
      </w:pPr>
      <w:r>
        <w:t xml:space="preserve">Список литературы</w:t>
      </w:r>
    </w:p>
    <w:bookmarkStart w:id="43" w:name="refs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hyperlink" Id="rId21" Target="https://habr.com/ru/companies/first/articles/731696/" TargetMode="External" /><Relationship Type="http://schemas.openxmlformats.org/officeDocument/2006/relationships/hyperlink" Id="rId22" Target="https://habr.com/ru/companies/otus/articles/492546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habr.com/ru/companies/first/articles/731696/" TargetMode="External" /><Relationship Type="http://schemas.openxmlformats.org/officeDocument/2006/relationships/hyperlink" Id="rId22" Target="https://habr.com/ru/companies/otus/articles/492546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Надежда Александровна Рогожина</dc:creator>
  <dc:language>ru-RU</dc:language>
  <cp:keywords/>
  <dcterms:created xsi:type="dcterms:W3CDTF">2024-04-27T16:31:15Z</dcterms:created>
  <dcterms:modified xsi:type="dcterms:W3CDTF">2024-04-27T16:31:15Z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4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