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val="fr-FR"/>
          <w:rFonts/>
        </w:rPr>
        <w:t xml:space="preserve">Intelligence d'emplacement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>
        <w:rPr>
          <w:rFonts w:ascii="Times New Roman" w:hAnsi="Times New Roman"/>
          <w:b w:val="true"/>
          <w:sz w:val="27"/>
          <w:lang w:val="fr-FR"/>
        </w:rPr>
        <w:t xml:space="preserve">Diriger la croissance des revenus en choisissant le meilleur emplacement pour faire des affaires.</w:t>
      </w:r>
    </w:p>
    <w:p w:rsidR="00FA08E0" w:rsidRDefault="00FA08E0" w:rsidP="00FA08E0">
      <w:pPr>
        <w:pStyle w:val="Heading3"/>
      </w:pPr>
      <w:r>
        <w:rPr>
          <w:lang w:val="fr-FR"/>
          <w:rFonts/>
        </w:rPr>
        <w:t xml:space="preserve">Réduisez les coûts en combinant les ressources avec précision aux distances.</w:t>
      </w:r>
    </w:p>
    <w:p w:rsidR="00FA08E0" w:rsidRDefault="00FA08E0" w:rsidP="00FA08E0">
      <w:pPr>
        <w:pStyle w:val="Heading3"/>
      </w:pPr>
      <w:r>
        <w:rPr>
          <w:lang w:val="fr-FR"/>
          <w:rFonts/>
        </w:rPr>
        <w:t xml:space="preserve">Gérer les risques en identifiant les menaces d'inondation, de criminalité et d'incendie.</w:t>
      </w:r>
    </w:p>
    <w:p w:rsidR="00FA08E0" w:rsidRDefault="00FA08E0" w:rsidP="00FA08E0">
      <w:pPr>
        <w:pStyle w:val="Heading3"/>
      </w:pPr>
      <w:r>
        <w:rPr>
          <w:lang w:val="fr-FR"/>
          <w:rFonts/>
        </w:rPr>
        <w:t xml:space="preserve">Augmenter la satisfaction de la clientèle en livrant au bon endroit au bon moment.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