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fr-FR"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val="fr-FR"/>
        </w:rPr>
      </w:pPr>
      <w:r>
        <w:fldChar w:fldCharType="begin"/>
      </w:r>
      <w:r>
        <w:rPr>
          <w:lang w:val="fr-FR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fr-FR"/>
        </w:rPr>
        <w:t xml:space="preserve">Customer Analytics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fr-FR"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fr-FR"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fr-FR"/>
        </w:rPr>
      </w:pPr>
      <w:r>
        <w:fldChar w:fldCharType="begin"/>
      </w:r>
      <w:r>
        <w:rPr>
          <w:lang w:val="fr-FR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fr-FR"/>
        </w:rPr>
        <w:t xml:space="preserve">Data Management and Integration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fr-FR"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fr-FR"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