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eastAsia="ja-JP"/>
        </w:rPr>
      </w:pPr>
      <w:r>
        <w:rPr>
          <w:rFonts w:ascii="Roboto" w:hAnsi="Roboto" w:eastAsia="Roboto"/>
          <w:color w:val="6f8294"/>
          <w:sz w:val="33"/>
          <w:shd w:val="clear" w:color="auto" w:fill="ffffff"/>
          <w:lang w:eastAsia="ja-JP"/>
        </w:rPr>
        <w:t xml:space="preserve">システムzarządzaniatłumaczeniamizwbudowanymmechanizmempamięcitłumaczeniowej、terminologiąinarzędziamiCAT。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eastAsia="ja-JP"/>
        </w:rPr>
      </w:pPr>
    </w:p>
    <w:p>
      <w:pPr>
        <w:pStyle w:val="Default"/>
        <w:ind w:left="0" w:right="0" w:firstLine="0"/>
        <w:jc w:val="left"/>
        <w:rPr>
          <w:lang w:eastAsia="ja-JP"/>
          <w:rFonts/>
        </w:rPr>
      </w:pPr>
      <w:r>
        <w:rPr>
          <w:rFonts w:ascii="Roboto" w:hAnsi="Roboto" w:eastAsia="Roboto"/>
          <w:color w:val="6f8294"/>
          <w:sz w:val="33"/>
          <w:shd w:val="clear" w:color="auto" w:fill="ffffff"/>
          <w:lang w:eastAsia="ja-JP"/>
        </w:rPr>
        <w:t xml:space="preserve">Konfigurowalneprzepływypracytłumaczenia、projektyciągłeizdalnydostępzapomocaplikacjimobilnejXTMnaurządzeniaprzenośne。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eastAsia="ja-JP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ja-JP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