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pl-PL"/>
        </w:rPr>
      </w:pPr>
      <w:r>
        <w:rPr>
          <w:rFonts w:ascii="Roboto" w:hAnsi="Roboto"/>
          <w:color w:val="6f8294"/>
          <w:sz w:val="33"/>
          <w:shd w:val="clear" w:color="auto" w:fill="ffffff"/>
          <w:lang w:val="pl-PL"/>
        </w:rPr>
        <w:t xml:space="preserve">System zarządzania tłumaczeniami z wbudowanym mechanizmem pamięci tłumaczeniowej, terminologią i narzędziami CAT.</w:t>
      </w:r>
    </w:p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pl-PL"/>
        </w:rPr>
      </w:pPr>
    </w:p>
    <w:p>
      <w:pPr>
        <w:pStyle w:val="Default"/>
        <w:ind w:left="0" w:right="0" w:firstLine="0"/>
        <w:jc w:val="left"/>
        <w:rPr>
          <w:lang w:val="pl-PL"/>
          <w:rFonts/>
        </w:rPr>
      </w:pPr>
      <w:r>
        <w:rPr>
          <w:rFonts w:ascii="Roboto" w:hAnsi="Roboto"/>
          <w:color w:val="6f8294"/>
          <w:sz w:val="33"/>
          <w:shd w:val="clear" w:color="auto" w:fill="ffffff"/>
          <w:lang w:val="pl-PL"/>
        </w:rPr>
        <w:t xml:space="preserve">Konfigurowalne przepływy pracy tłumaczenia, projekty ciągłe i zdalny dostęp za pomoc aplikacji mobilnej XTM na przenośne.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pl-PL"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pl-PL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