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rtl w:val="0"/>
        </w:rPr>
      </w:pP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System zarz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ą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dzania t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ł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umaczeniami z wbudowanym mechanizmem pami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ę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  <w:lang w:val="it-IT"/>
        </w:rPr>
        <w:t>ci t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ł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umaczeniowej, terminologi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 xml:space="preserve">ą 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i narz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ę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dziami CAT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Konfigurowalne przep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ł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ywy pracy t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ł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umaczenia, projekty ci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ą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g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ł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e i zdalny dost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ę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p za pomoc aplikacji mobilnej XTM na urz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ą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dzenia przeno</w:t>
      </w:r>
      <w:r>
        <w:rPr>
          <w:rFonts w:ascii="Roboto" w:hAnsi="Roboto" w:hint="default"/>
          <w:color w:val="6f8294"/>
          <w:sz w:val="33"/>
          <w:szCs w:val="33"/>
          <w:shd w:val="clear" w:color="auto" w:fill="ffffff"/>
          <w:rtl w:val="0"/>
        </w:rPr>
        <w:t>ś</w:t>
      </w:r>
      <w:r>
        <w:rPr>
          <w:rFonts w:ascii="Roboto" w:hAnsi="Roboto"/>
          <w:color w:val="6f8294"/>
          <w:sz w:val="33"/>
          <w:szCs w:val="33"/>
          <w:shd w:val="clear" w:color="auto" w:fill="ffffff"/>
          <w:rtl w:val="0"/>
        </w:rPr>
        <w:t>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