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t xml:space="preserve">Qui dit que vous devez choisir entre la forme et la fonction?</w:t>
      </w:r>
      <w:r>
        <w:t xml:space="preserve"> </w:t>
      </w:r>
      <w:r>
        <w:t xml:space="preserve">Avec</w:t>
      </w:r>
      <w:r>
        <w:rPr>
          <w:rStyle w:val="Strong"/>
          <w:lang w:val="fr-FR"/>
        </w:rPr>
        <w:t xml:space="preserve"> le Buckingham Howard NX-25</w:t>
      </w:r>
      <w:r>
        <w:t xml:space="preserve">, vous n'avez pas à le faire.</w:t>
      </w:r>
      <w:r>
        <w:t xml:space="preserve"> </w:t>
      </w:r>
      <w:r>
        <w:t xml:space="preserve">Le Howard NX-25 combine toute la beauté classique de l'âge d'or de l'aviation avec une performance totalement étourdissante.</w:t>
      </w:r>
      <w:r>
        <w:t xml:space="preserve"> </w:t>
      </w:r>
      <w:r>
        <w:t xml:space="preserve">Retrouvez ce Stunner de Elitás Travel dans GTA Online aujourd'hui - votre seul regret sera qu'un jour vous devez atterrir.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