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BA2C" w14:textId="77777777" w:rsidR="002372A7" w:rsidRDefault="002372A7" w:rsidP="002372A7">
      <w:pPr>
        <w:pStyle w:val="1"/>
      </w:pPr>
      <w:r>
        <w:t>Sample file for Machine Translation</w:t>
      </w:r>
    </w:p>
    <w:p w14:paraId="5F3AF25D" w14:textId="77777777" w:rsidR="002372A7" w:rsidRDefault="002372A7" w:rsidP="002372A7">
      <w:pPr>
        <w:rPr>
          <w:rFonts w:ascii="Arial" w:hAnsi="Arial"/>
        </w:rPr>
      </w:pPr>
    </w:p>
    <w:p w14:paraId="7370C574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To minimize the need for modifications after a release upgrade, adhere to the following guidelines:</w:t>
      </w:r>
    </w:p>
    <w:p w14:paraId="4853F404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The value by which you want to increment the minimum and maximum sequence numbers</w:t>
      </w:r>
    </w:p>
    <w:p w14:paraId="57C5277A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The resource overload is resolved in the system.</w:t>
      </w:r>
    </w:p>
    <w:p w14:paraId="41884DFC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URL context paths used by the web application server are different from those externally viewable from the proxy server.</w:t>
      </w:r>
    </w:p>
    <w:p w14:paraId="25248E25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The expiration period of a loan describes the last period in the life cycle of a loan.</w:t>
      </w:r>
    </w:p>
    <w:p w14:paraId="066DF3DE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Select the candidate entries that you want to delete.</w:t>
      </w:r>
    </w:p>
    <w:p w14:paraId="433137A2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None of the selected objects are valid for this function.</w:t>
      </w:r>
    </w:p>
    <w:p w14:paraId="52300D3B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Check the links for e-mail and the homepage in the header detail screen.</w:t>
      </w:r>
    </w:p>
    <w:p w14:paraId="18785FEF" w14:textId="77777777" w:rsidR="002372A7" w:rsidRPr="002372A7" w:rsidRDefault="002372A7" w:rsidP="002372A7">
      <w:pPr>
        <w:pStyle w:val="a3"/>
        <w:numPr>
          <w:ilvl w:val="0"/>
          <w:numId w:val="2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You can also change these values on the respective screen in the application.</w:t>
      </w:r>
    </w:p>
    <w:p w14:paraId="5606898E" w14:textId="1CD51397" w:rsidR="00B11B9D" w:rsidRPr="00B11B9D" w:rsidRDefault="00B11B9D" w:rsidP="002372A7">
      <w:pPr>
        <w:rPr>
          <w:rFonts w:ascii="Arial" w:hAnsi="Arial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5D0522F2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You can make the following changes:</w:t>
      </w:r>
    </w:p>
    <w:p w14:paraId="291A96ED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Access the project structure for a project.</w:t>
      </w:r>
    </w:p>
    <w:p w14:paraId="7C1CC2F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You can enable manual or automatic creation of service requests from incoming e-mails.</w:t>
      </w:r>
    </w:p>
    <w:p w14:paraId="767122EC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This is not allowed as it could lead to loss of data.</w:t>
      </w:r>
    </w:p>
    <w:p w14:paraId="6D55AECB" w14:textId="77777777" w:rsidR="002372A7" w:rsidRPr="002372A7" w:rsidRDefault="002372A7" w:rsidP="002372A7">
      <w:pPr>
        <w:pStyle w:val="a3"/>
        <w:numPr>
          <w:ilvl w:val="0"/>
          <w:numId w:val="3"/>
        </w:numPr>
        <w:ind w:leftChars="0"/>
        <w:rPr>
          <w:rFonts w:ascii="Arial" w:hAnsi="Arial"/>
        </w:rPr>
      </w:pPr>
      <w:r w:rsidRPr="002372A7">
        <w:rPr>
          <w:rFonts w:ascii="Arial" w:hAnsi="Arial"/>
        </w:rPr>
        <w:t>Use Indicates the maximum total weight of a load.</w:t>
      </w:r>
    </w:p>
    <w:p w14:paraId="0B1F93B7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Defines the level at which the hazardous substance check should take place, for example, at storage type level, at storage section level, or not at all.</w:t>
      </w:r>
    </w:p>
    <w:p w14:paraId="55729198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Income statements by nature of expense use the account structure to portray which costs and revenues occurred during a given period (for example, material costs).</w:t>
      </w:r>
    </w:p>
    <w:p w14:paraId="27486450" w14:textId="77777777" w:rsidR="002372A7" w:rsidRPr="002372A7" w:rsidRDefault="002372A7" w:rsidP="002372A7">
      <w:pPr>
        <w:rPr>
          <w:rFonts w:ascii="Arial" w:hAnsi="Arial"/>
          <w:b/>
        </w:rPr>
      </w:pPr>
      <w:r w:rsidRPr="002372A7">
        <w:rPr>
          <w:rFonts w:ascii="Arial" w:hAnsi="Arial"/>
          <w:b/>
        </w:rPr>
        <w:t>But do not change any other fields.</w:t>
      </w:r>
    </w:p>
    <w:p w14:paraId="1F3D20B7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Assign the satisfaction levels that you have defined to obtain comparable values, which are independent from the current survey.</w:t>
      </w:r>
    </w:p>
    <w:p w14:paraId="5820F65D" w14:textId="01BBB9B4" w:rsidR="00B11B9D" w:rsidRPr="00B11B9D" w:rsidRDefault="00B11B9D" w:rsidP="002372A7">
      <w:pPr>
        <w:rPr>
          <w:rFonts w:ascii="Arial" w:hAnsi="Arial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071CC32F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Select this tab to view, edit or add addresses that are associated with this account.</w:t>
      </w:r>
    </w:p>
    <w:p w14:paraId="7578861D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 xml:space="preserve">Click </w:t>
      </w:r>
      <w:r w:rsidRPr="002372A7">
        <w:rPr>
          <w:rFonts w:ascii="Arial" w:hAnsi="Arial"/>
          <w:color w:val="FF0000"/>
        </w:rPr>
        <w:t>Finish</w:t>
      </w:r>
      <w:r w:rsidRPr="002372A7">
        <w:rPr>
          <w:rFonts w:ascii="Arial" w:hAnsi="Arial"/>
        </w:rPr>
        <w:t xml:space="preserve"> to go to the next step.</w:t>
      </w:r>
    </w:p>
    <w:p w14:paraId="2BBDEE8A" w14:textId="77777777" w:rsidR="00465312" w:rsidRPr="002372A7" w:rsidRDefault="004B789C">
      <w:pPr>
        <w:rPr>
          <w:rFonts w:ascii="Arial" w:hAnsi="Arial"/>
        </w:rPr>
      </w:pPr>
    </w:p>
    <w:p w14:paraId="3074DC1B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However, it can also be used for services provided to citizens (such as applying for social benefits).</w:t>
      </w:r>
    </w:p>
    <w:p w14:paraId="0E2CC596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 xml:space="preserve">It consists of </w:t>
      </w:r>
      <w:r w:rsidRPr="002372A7">
        <w:rPr>
          <w:rFonts w:ascii="Arial" w:hAnsi="Arial"/>
          <w:color w:val="FF0000"/>
        </w:rPr>
        <w:t>three</w:t>
      </w:r>
      <w:r w:rsidRPr="002372A7">
        <w:rPr>
          <w:rFonts w:ascii="Arial" w:hAnsi="Arial"/>
        </w:rPr>
        <w:t xml:space="preserve"> blocks.</w:t>
      </w:r>
    </w:p>
    <w:p w14:paraId="66A4D3CC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Usually the administrator can configure on the operating system the maximum number of sockets a process can have open in parallel.</w:t>
      </w:r>
    </w:p>
    <w:p w14:paraId="5C5E1DD0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End users can choose from a list of radio buttons representing the different types of events described in the database.</w:t>
      </w:r>
    </w:p>
    <w:p w14:paraId="21AA9333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Specify the number of results on each page.</w:t>
      </w:r>
    </w:p>
    <w:p w14:paraId="27DDCED1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If the result is earlier than the current time, the process to be checked is assumed to be dead and it will be restarted.</w:t>
      </w:r>
    </w:p>
    <w:p w14:paraId="0353DFC0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Certain activities have been completed (such as setting object links)</w:t>
      </w:r>
    </w:p>
    <w:p w14:paraId="19CFDAE7" w14:textId="5EDB6959" w:rsidR="00B11B9D" w:rsidRPr="00B11B9D" w:rsidRDefault="00B11B9D" w:rsidP="002372A7">
      <w:pPr>
        <w:rPr>
          <w:rFonts w:ascii="Arial" w:hAnsi="Arial"/>
          <w:color w:val="0070C0"/>
        </w:rPr>
      </w:pPr>
      <w:r w:rsidRPr="00B11B9D">
        <w:rPr>
          <w:rFonts w:ascii="Arial" w:hAnsi="Arial"/>
          <w:color w:val="0070C0"/>
        </w:rPr>
        <w:t>This sentence is repeated.</w:t>
      </w:r>
    </w:p>
    <w:p w14:paraId="43BB8897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Formulate the appropriate filter criterion in the columns for which you want to define a filter.</w:t>
      </w:r>
    </w:p>
    <w:p w14:paraId="0C73D969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For the transfer, choose single records that are part of this totals record.</w:t>
      </w:r>
    </w:p>
    <w:p w14:paraId="53683F60" w14:textId="77777777" w:rsidR="002372A7" w:rsidRPr="002372A7" w:rsidRDefault="002372A7" w:rsidP="002372A7">
      <w:pPr>
        <w:rPr>
          <w:rFonts w:ascii="Arial" w:hAnsi="Arial"/>
        </w:rPr>
      </w:pPr>
      <w:r>
        <w:rPr>
          <w:rFonts w:ascii="Arial" w:hAnsi="Arial"/>
          <w:noProof/>
          <w:lang w:val="en-US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C7E49" wp14:editId="73D59886">
                <wp:simplePos x="0" y="0"/>
                <wp:positionH relativeFrom="column">
                  <wp:posOffset>4343400</wp:posOffset>
                </wp:positionH>
                <wp:positionV relativeFrom="paragraph">
                  <wp:posOffset>209550</wp:posOffset>
                </wp:positionV>
                <wp:extent cx="1139825" cy="888365"/>
                <wp:effectExtent l="0" t="0" r="28575" b="26035"/>
                <wp:wrapThrough wrapText="bothSides">
                  <wp:wrapPolygon edited="0">
                    <wp:start x="6257" y="0"/>
                    <wp:lineTo x="0" y="3706"/>
                    <wp:lineTo x="0" y="16057"/>
                    <wp:lineTo x="2888" y="19763"/>
                    <wp:lineTo x="6257" y="21615"/>
                    <wp:lineTo x="15403" y="21615"/>
                    <wp:lineTo x="18772" y="19763"/>
                    <wp:lineTo x="21660" y="16057"/>
                    <wp:lineTo x="21660" y="3706"/>
                    <wp:lineTo x="15403" y="0"/>
                    <wp:lineTo x="6257" y="0"/>
                  </wp:wrapPolygon>
                </wp:wrapThrough>
                <wp:docPr id="1" name="スマイル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88836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AB1C"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スマイル 1" o:spid="_x0000_s1026" type="#_x0000_t96" style="position:absolute;left:0;text-align:left;margin-left:342pt;margin-top:16.5pt;width:89.75pt;height:6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" fillcolor="#ffc000 [3207]" strokecolor="#7f5f00 [1607]" strokeweight="1pt">
                <v:stroke joinstyle="miter"/>
                <w10:wrap type="through"/>
              </v:shape>
            </w:pict>
          </mc:Fallback>
        </mc:AlternateContent>
      </w:r>
      <w:r w:rsidRPr="002372A7">
        <w:rPr>
          <w:rFonts w:ascii="Arial" w:hAnsi="Arial"/>
        </w:rPr>
        <w:t>Applications must be given by their technical name.</w:t>
      </w:r>
    </w:p>
    <w:p w14:paraId="6154227C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Your personal folder for uploading documents.</w:t>
      </w:r>
    </w:p>
    <w:p w14:paraId="73BBDC5D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Multiple variants for an attribute value combination are displayed.</w:t>
      </w:r>
    </w:p>
    <w:p w14:paraId="0901DC84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Therefore, no further operations can be executed.</w:t>
      </w:r>
    </w:p>
    <w:p w14:paraId="277569D4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Create and process blocks</w:t>
      </w:r>
      <w:r>
        <w:rPr>
          <w:rFonts w:ascii="Arial" w:hAnsi="Arial"/>
        </w:rPr>
        <w:t xml:space="preserve"> </w:t>
      </w:r>
    </w:p>
    <w:p w14:paraId="5E69B47E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If publication failed, you can see the information on the error in the form of a message.</w:t>
      </w:r>
    </w:p>
    <w:p w14:paraId="183E34BF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Workflows can run and be executed.</w:t>
      </w:r>
    </w:p>
    <w:p w14:paraId="257A373D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 xml:space="preserve">In the dialog box, select the field — such as </w:t>
      </w:r>
      <w:r w:rsidRPr="004B789C">
        <w:rPr>
          <w:rFonts w:ascii="Arial" w:hAnsi="Arial"/>
          <w:i/>
        </w:rPr>
        <w:t>Status</w:t>
      </w:r>
      <w:r w:rsidRPr="002372A7">
        <w:rPr>
          <w:rFonts w:ascii="Arial" w:hAnsi="Arial"/>
        </w:rPr>
        <w:t xml:space="preserve"> — for the expression of the condition.</w:t>
      </w:r>
    </w:p>
    <w:p w14:paraId="5CA5ED4F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 xml:space="preserve">End of standard vendor support in </w:t>
      </w:r>
      <w:r w:rsidRPr="002372A7">
        <w:rPr>
          <w:rFonts w:ascii="Arial" w:hAnsi="Arial"/>
          <w:u w:val="single"/>
        </w:rPr>
        <w:t>6 months or less</w:t>
      </w:r>
      <w:r w:rsidRPr="002372A7">
        <w:rPr>
          <w:rFonts w:ascii="Arial" w:hAnsi="Arial"/>
        </w:rPr>
        <w:t xml:space="preserve"> and end o</w:t>
      </w:r>
      <w:bookmarkStart w:id="0" w:name="_GoBack"/>
      <w:bookmarkEnd w:id="0"/>
      <w:r w:rsidRPr="002372A7">
        <w:rPr>
          <w:rFonts w:ascii="Arial" w:hAnsi="Arial"/>
        </w:rPr>
        <w:t>f extended vendor support in more than 6 months</w:t>
      </w:r>
    </w:p>
    <w:p w14:paraId="648DDAD8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Use this menu to create, delete, or edit variables and parameters.</w:t>
      </w:r>
    </w:p>
    <w:p w14:paraId="311186EE" w14:textId="77777777" w:rsidR="002372A7" w:rsidRPr="002372A7" w:rsidRDefault="002372A7" w:rsidP="002372A7">
      <w:pPr>
        <w:rPr>
          <w:rFonts w:ascii="Arial" w:hAnsi="Arial"/>
        </w:rPr>
      </w:pPr>
      <w:r w:rsidRPr="002372A7">
        <w:rPr>
          <w:rFonts w:ascii="Arial" w:hAnsi="Arial"/>
        </w:rPr>
        <w:t>Expand a class to view its hierarchical structure and characteristics.</w:t>
      </w:r>
    </w:p>
    <w:p w14:paraId="087238F9" w14:textId="77777777" w:rsidR="002372A7" w:rsidRPr="002372A7" w:rsidRDefault="002372A7">
      <w:pPr>
        <w:rPr>
          <w:rFonts w:ascii="Arial" w:hAnsi="Arial"/>
        </w:rPr>
      </w:pPr>
    </w:p>
    <w:sectPr w:rsidR="002372A7" w:rsidRPr="002372A7" w:rsidSect="00363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5CBF"/>
    <w:multiLevelType w:val="hybridMultilevel"/>
    <w:tmpl w:val="8750A02E"/>
    <w:lvl w:ilvl="0" w:tplc="787805D2">
      <w:start w:val="1"/>
      <w:numFmt w:val="bullet"/>
      <w:lvlText w:val="-"/>
      <w:lvlJc w:val="left"/>
      <w:pPr>
        <w:ind w:left="480" w:hanging="31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B91C85"/>
    <w:multiLevelType w:val="hybridMultilevel"/>
    <w:tmpl w:val="A89268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AB60594"/>
    <w:multiLevelType w:val="hybridMultilevel"/>
    <w:tmpl w:val="417CBF18"/>
    <w:lvl w:ilvl="0" w:tplc="1DB07166">
      <w:start w:val="1"/>
      <w:numFmt w:val="bullet"/>
      <w:lvlText w:val="-"/>
      <w:lvlJc w:val="left"/>
      <w:pPr>
        <w:ind w:left="480" w:hanging="480"/>
      </w:pPr>
      <w:rPr>
        <w:rFonts w:ascii="Arial" w:hAnsi="Aria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A7"/>
    <w:rsid w:val="002372A7"/>
    <w:rsid w:val="004B789C"/>
    <w:rsid w:val="00821824"/>
    <w:rsid w:val="00B11B9D"/>
    <w:rsid w:val="00B4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B5E7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372A7"/>
    <w:pPr>
      <w:spacing w:after="200" w:line="276" w:lineRule="auto"/>
    </w:pPr>
    <w:rPr>
      <w:kern w:val="0"/>
      <w:sz w:val="22"/>
      <w:szCs w:val="22"/>
      <w:lang w:val="en-GB"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2372A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72A7"/>
    <w:rPr>
      <w:rFonts w:asciiTheme="majorHAnsi" w:eastAsiaTheme="majorEastAsia" w:hAnsiTheme="majorHAnsi" w:cstheme="majorBidi"/>
      <w:kern w:val="0"/>
      <w:sz w:val="28"/>
      <w:szCs w:val="28"/>
      <w:lang w:val="en-GB" w:eastAsia="en-US" w:bidi="he-IL"/>
    </w:rPr>
  </w:style>
  <w:style w:type="paragraph" w:styleId="a3">
    <w:name w:val="List Paragraph"/>
    <w:basedOn w:val="a"/>
    <w:uiPriority w:val="34"/>
    <w:qFormat/>
    <w:rsid w:val="002372A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2720</Characters>
  <Application>Microsoft Macintosh Word</Application>
  <DocSecurity>0</DocSecurity>
  <Lines>22</Lines>
  <Paragraphs>6</Paragraphs>
  <ScaleCrop>false</ScaleCrop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</cp:revision>
  <dcterms:created xsi:type="dcterms:W3CDTF">2017-09-11T14:33:00Z</dcterms:created>
  <dcterms:modified xsi:type="dcterms:W3CDTF">2017-09-12T00:27:00Z</dcterms:modified>
</cp:coreProperties>
</file>