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eastAsia="Times New Roman" w:hAnsi="Times New Roman" w:cs="Times New Roman"/>
          <w:b w:val="true"/>
          <w:color w:val="FF5F14"/>
          <w:kern w:val="36"/>
          <w:sz w:val="48"/>
          <w:lang w:val="fr-FR"/>
        </w:rPr>
        <w:t xml:space="preserve">Fournir des applications et des postes de travail virtuels sécurisés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>
        <w:rPr>
          <w:rFonts w:ascii="Times New Roman" w:eastAsia="Times New Roman" w:hAnsi="Times New Roman" w:cs="Times New Roman"/>
          <w:b w:val="true"/>
          <w:sz w:val="36"/>
          <w:lang w:val="fr-FR"/>
        </w:rPr>
        <w:t xml:space="preserve">Fournir un accès à distance sécurisé aux employés tout en réduisant les coûts informatiques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lang w:val="fr-FR"/>
        </w:rPr>
        <w:t xml:space="preserve">Seul Citrix fournit une solution complète d'application virtuelle et de bureau pour répondre à tous vos besoins professionnels.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Donner aux employés la liberté de travailler de n'importe où tout en réduisant les coûts informatiques.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Livrez des applications Windows, Linux, Web et SaaS ou des postes de travail virtuels complets à partir de n'importe quel cloud public, sur site ou hybride.</w:t>
      </w:r>
      <w:r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