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77777777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666666"/>
          <w:sz w:val="24"/>
          <w:szCs w:val="24"/>
          <w:lang w:val="nl-NL"/>
        </w:rPr>
      </w:pPr>
      <w:r>
        <w:rPr>
          <w:rFonts w:ascii="Arial" w:hAnsi="Arial"/>
          <w:b w:val="true"/>
          <w:color w:val="666666"/>
          <w:sz w:val="24"/>
          <w:lang w:val="nl-NL"/>
        </w:rPr>
        <w:t xml:space="preserve">Pourquoi maakt gebruik van ordinateurs portables Dell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Dell stellen qu'une grote gamme d'ordinateurs portables, des systèmes conçus exclusivement pour les petites entreprises à des stations de travail mobiles entièrement certifiées ou forme spécialisée des facteurs que les tablettes PC ou ordinateurs Portables robuust.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 cette façon, vous pouvez trouver une offre nl fonction de vos besoins et votre begroting, qui vous permettra d'acheter tous vos systèmes à un seul fournisseur et réduire la complexité.</w:t>
      </w:r>
      <w:r>
        <w:rPr>
          <w:rFonts w:ascii="Arial" w:hAnsi="Arial"/>
          <w:sz w:val="18"/>
          <w:lang w:val="nl-NL"/>
        </w:rPr>
        <w:t xml:space="preserve"> </w:t>
      </w:r>
      <w:r>
        <w:rPr>
          <w:rFonts w:ascii="Arial" w:hAnsi="Arial"/>
          <w:sz w:val="18"/>
          <w:lang w:val="nl-NL"/>
        </w:rPr>
        <w:t xml:space="preserve">Dell een une présence dans le monde entier et fournit un service dans 130 betaalt, 24 heures par jour 7 jours par semaine.</w:t>
      </w:r>
      <w:r>
        <w:rPr>
          <w:rFonts w:ascii="Arial" w:hAnsi="Arial"/>
          <w:sz w:val="18"/>
          <w:lang w:val="nl-NL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18"/>
          <w:szCs w:val="18"/>
          <w:lang w:val="nl-NL"/>
        </w:rPr>
      </w:pPr>
      <w:r>
        <w:rPr>
          <w:rFonts w:ascii="Arial" w:hAnsi="Arial"/>
          <w:sz w:val="18"/>
          <w:lang w:val="nl-NL"/>
        </w:rPr>
        <w:t xml:space="preserve">Voici pourquoi vous devriez choisir un nouvel ordinateur portable de Dell: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portables de Dell aide à éliminer les morts plus dans la maison ou au bureau que n'importe quel autre PME draagbare fournisseur </w:t>
                  </w:r>
                  <w:hyperlink r:id="rId5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1 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Ordinateurs portables Dell sont les plus avancés au monde.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portables sont éliminés plus Foundation, sans couverture, à la maison ou au bureau que des produits de la concurrence</w:t>
                  </w:r>
                  <w:hyperlink r:id="rId6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93% van de gebruikers niet pu se connecter avec succès à un réseau à l'aide d'Assistant réseau Dell.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taux de réussite était de 66% chez les utilisateurs qui ne l'utilisent pas</w:t>
                  </w:r>
                  <w:hyperlink r:id="rId7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2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Vostro-ontwerp voor kleine bedrijven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Vostro biedt een volledig gamma aan de producten, ventes de l'assistance et des fonctions de dienst qui required des petites entreprises.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Vostro-testsoutenu normen Dell plus Comètes pour les petites entreprises.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programma's de démonstration.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Combineren van 32 van de opérations de onderhoud et performance nl une seule toepassing très facile à utiliser, Dell Automatisé PC wizardoptimalisatie.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VN écran Dell de la technologie TrueLife exclusif augmente la Clarte de l'image, rend les couleurs du plus vives et offre taux de contraste jusqu'à 10% plus élevé que les Festival comparables avec des revêtements anti-reflet.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Le modèle Dell Vostro</w:t>
                  </w:r>
                  <w:r w:rsidRPr="009B0DE1">
                    <w:rPr>
                      <w:rFonts w:ascii="Arial" w:hAnsi="Arial"/>
                      <w:sz w:val="15"/>
                      <w:szCs w:val="15"/>
                      <w:vertAlign w:val="superscript"/>
                      <w:lang w:val="nl-NL"/>
                    </w:rPr>
                    <w:t xml:space="preserve"> ™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1310 plus d'opties de sécurité par le matériel à Yolanthe votre ordinateur portable que les équipes de l'équivalents de Toshiba et Acer</w:t>
                  </w:r>
                  <w:hyperlink r:id="rId8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3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6CA3FC3F" w14:textId="77777777" w:rsidR="00871592" w:rsidRPr="009B0DE1" w:rsidRDefault="0038048D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Times New Roman" w:hAnsi="Arial" w:cs="Arial"/>
          <w:vanish/>
          <w:sz w:val="18"/>
          <w:lang w:val="nl-N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nl-NL"/>
              </w:rPr>
            </w:pPr>
            <w:r w:rsidRPr="009B0DE1">
              <w:rPr>
                <w:rFonts w:ascii="Arial" w:hAnsi="Arial"/>
                <w:sz w:val="18"/>
                <w:szCs w:val="18"/>
                <w:lang w:val="nl-NL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  <w:r>
              <w:rPr>
                <w:rFonts w:ascii="Arial" w:hAnsi="Arial"/>
                <w:b w:val="true"/>
                <w:sz w:val="18"/>
                <w:lang w:val="nl-NL"/>
              </w:rPr>
              <w:t xml:space="preserve">Ras: affaires sans frontières, maniabilité sans renoncer à quoi que ce soit</w:t>
            </w:r>
            <w:r>
              <w:rPr>
                <w:rFonts w:ascii="Arial" w:hAnsi="Arial"/>
                <w:b w:val="true"/>
                <w:sz w:val="18"/>
                <w:lang w:val="nl-NL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is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Disques klappen af bij de apporter des Krijvolvolvolvolde et sans pièces mobiles.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Ils sont conçus pour ben VN bond nl avant dans la durabilité et fiabilité conçue pour offrir 5 x disques klappen de plus grande fiabilité à l'état solide aanschaffen également jusqu à 23% amélioration de la performance.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Seulement le vendeur avec aanmelden biométrique intégrée sur tous les produits Pro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Giet touch axée sur le doigt, digitaliseur Dell exige moins de power, est plus verstan dige au toucher et les résultats nl moins raakt vouden-voorlopig qui rend tous notre numériseur plu goederen que la compétition.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Une des tablettes plus gehakt et plus léger 12,1-inch converterbare bay.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une prière.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C'est ce qui pourrait être considéré comme une peine plus longue.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Voici ce qui pourrait uitdrukking être considéré comme une troisième zin supplémentaire.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De Dell Latitude D630 en D630 BST is een surpassé la concurrence dans les test de durabilité.</w:t>
                  </w: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Avec Dell, ordinateurs portables sont éliminés plus Foundation, sans couverture, à la maison ou au bureau que des produits de la concurrence</w:t>
                  </w:r>
                  <w:hyperlink r:id="rId13" w:history="1">
                    <w:r>
                      <w:rPr>
                        <w:rFonts w:ascii="Arial" w:hAnsi="Arial"/>
                        <w:color w:val="0066CC"/>
                        <w:sz w:val="18"/>
                        <w:vertAlign w:val="superscript"/>
                        <w:lang w:val="nl-NL"/>
                      </w:rPr>
                      <w:t xml:space="preserve"> 1</w:t>
                    </w:r>
                  </w:hyperlink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.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  <w:r>
                    <w:rPr>
                      <w:rFonts w:ascii="Arial" w:hAnsi="Arial"/>
                      <w:sz w:val="18"/>
                      <w:lang w:val="nl-NL"/>
                    </w:rPr>
                    <w:t xml:space="preserve">Sans programma's de démonstration.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sz w:val="18"/>
                      <w:szCs w:val="18"/>
                      <w:lang w:val="nl-NL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Times New Roman" w:hAnsi="Arial" w:cs="Arial"/>
                <w:sz w:val="18"/>
                <w:lang w:val="nl-NL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en-US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en-GB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en-GB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  <w:lang w:eastAsia="en-GB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3103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bruce blinn-knapp</cp:lastModifiedBy>
  <cp:revision>4</cp:revision>
  <dcterms:created xsi:type="dcterms:W3CDTF">2014-03-10T13:34:00Z</dcterms:created>
  <dcterms:modified xsi:type="dcterms:W3CDTF">2018-02-08T15:38:00Z</dcterms:modified>
</cp:coreProperties>
</file>